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129E" w14:textId="77777777" w:rsidR="003A53DB" w:rsidRPr="003A53DB" w:rsidRDefault="003A53DB" w:rsidP="003A53DB">
      <w:pPr>
        <w:widowControl w:val="0"/>
        <w:autoSpaceDE w:val="0"/>
        <w:autoSpaceDN w:val="0"/>
        <w:spacing w:before="1" w:after="0" w:line="241" w:lineRule="exact"/>
        <w:ind w:right="119"/>
        <w:jc w:val="right"/>
        <w:outlineLvl w:val="1"/>
        <w:rPr>
          <w:rFonts w:ascii="Tahoma" w:eastAsia="Tahoma" w:hAnsi="Tahoma" w:cs="Tahoma"/>
          <w:b/>
          <w:bCs/>
          <w:sz w:val="20"/>
          <w:szCs w:val="20"/>
          <w:lang w:bidi="en-US"/>
        </w:rPr>
      </w:pPr>
      <w:r w:rsidRPr="003A53DB">
        <w:rPr>
          <w:rFonts w:ascii="Tahoma" w:eastAsia="Tahoma" w:hAnsi="Tahoma" w:cs="Tahoma"/>
          <w:b/>
          <w:bCs/>
          <w:sz w:val="20"/>
          <w:szCs w:val="20"/>
          <w:lang w:bidi="en-US"/>
        </w:rPr>
        <w:t>NEWS</w:t>
      </w:r>
      <w:r w:rsidRPr="003A53DB">
        <w:rPr>
          <w:rFonts w:ascii="Tahoma" w:eastAsia="Tahoma" w:hAnsi="Tahoma" w:cs="Tahoma"/>
          <w:b/>
          <w:bCs/>
          <w:spacing w:val="-7"/>
          <w:sz w:val="20"/>
          <w:szCs w:val="20"/>
          <w:lang w:bidi="en-US"/>
        </w:rPr>
        <w:t xml:space="preserve"> </w:t>
      </w:r>
      <w:r w:rsidRPr="003A53DB">
        <w:rPr>
          <w:rFonts w:ascii="Tahoma" w:eastAsia="Tahoma" w:hAnsi="Tahoma" w:cs="Tahoma"/>
          <w:b/>
          <w:bCs/>
          <w:sz w:val="20"/>
          <w:szCs w:val="20"/>
          <w:lang w:bidi="en-US"/>
        </w:rPr>
        <w:t>RELEASE</w:t>
      </w:r>
    </w:p>
    <w:p w14:paraId="492DFF41" w14:textId="77777777" w:rsidR="003A53DB" w:rsidRPr="003A53DB" w:rsidRDefault="003A53DB" w:rsidP="003A53DB">
      <w:pPr>
        <w:widowControl w:val="0"/>
        <w:autoSpaceDE w:val="0"/>
        <w:autoSpaceDN w:val="0"/>
        <w:spacing w:after="0" w:line="241" w:lineRule="exact"/>
        <w:ind w:right="120"/>
        <w:jc w:val="right"/>
        <w:rPr>
          <w:rFonts w:ascii="Tahoma" w:eastAsia="Tahoma" w:hAnsi="Tahoma" w:cs="Tahoma"/>
          <w:b/>
          <w:sz w:val="20"/>
          <w:lang w:bidi="en-US"/>
        </w:rPr>
      </w:pPr>
      <w:r w:rsidRPr="003A53DB">
        <w:rPr>
          <w:rFonts w:ascii="Tahoma" w:eastAsia="Tahoma" w:hAnsi="Tahoma" w:cs="Tahoma"/>
          <w:b/>
          <w:sz w:val="20"/>
          <w:lang w:bidi="en-US"/>
        </w:rPr>
        <w:t>For Immediate</w:t>
      </w:r>
      <w:r w:rsidRPr="003A53DB">
        <w:rPr>
          <w:rFonts w:ascii="Tahoma" w:eastAsia="Tahoma" w:hAnsi="Tahoma" w:cs="Tahoma"/>
          <w:b/>
          <w:spacing w:val="-12"/>
          <w:sz w:val="20"/>
          <w:lang w:bidi="en-US"/>
        </w:rPr>
        <w:t xml:space="preserve"> </w:t>
      </w:r>
      <w:r w:rsidRPr="003A53DB">
        <w:rPr>
          <w:rFonts w:ascii="Tahoma" w:eastAsia="Tahoma" w:hAnsi="Tahoma" w:cs="Tahoma"/>
          <w:b/>
          <w:sz w:val="20"/>
          <w:lang w:bidi="en-US"/>
        </w:rPr>
        <w:t>Release</w:t>
      </w:r>
    </w:p>
    <w:p w14:paraId="07195F7E" w14:textId="77777777" w:rsidR="003A53DB" w:rsidRDefault="003A53DB" w:rsidP="008C5612">
      <w:pPr>
        <w:spacing w:after="0" w:line="240" w:lineRule="auto"/>
        <w:jc w:val="center"/>
        <w:rPr>
          <w:rFonts w:ascii="Arial" w:hAnsi="Arial" w:cs="Arial"/>
          <w:b/>
          <w:spacing w:val="-6"/>
          <w:sz w:val="28"/>
        </w:rPr>
      </w:pPr>
    </w:p>
    <w:p w14:paraId="2E98527A" w14:textId="35974406" w:rsidR="003C7A1B" w:rsidRDefault="0010725E" w:rsidP="008C5612">
      <w:pPr>
        <w:spacing w:after="0" w:line="240" w:lineRule="auto"/>
        <w:jc w:val="center"/>
        <w:rPr>
          <w:rFonts w:ascii="Arial" w:hAnsi="Arial" w:cs="Arial"/>
          <w:b/>
          <w:spacing w:val="-6"/>
          <w:sz w:val="28"/>
        </w:rPr>
      </w:pPr>
      <w:r w:rsidRPr="0010725E">
        <w:rPr>
          <w:rFonts w:ascii="Arial" w:hAnsi="Arial" w:cs="Arial"/>
          <w:b/>
          <w:spacing w:val="-6"/>
          <w:sz w:val="28"/>
        </w:rPr>
        <w:t>Bluerock Total Income+ Real Estate Fund Logs</w:t>
      </w:r>
      <w:r w:rsidR="00252144">
        <w:rPr>
          <w:rFonts w:ascii="Arial" w:hAnsi="Arial" w:cs="Arial"/>
          <w:b/>
          <w:spacing w:val="-6"/>
          <w:sz w:val="28"/>
        </w:rPr>
        <w:t xml:space="preserve"> </w:t>
      </w:r>
      <w:r w:rsidRPr="0010725E">
        <w:rPr>
          <w:rFonts w:ascii="Arial" w:hAnsi="Arial" w:cs="Arial"/>
          <w:b/>
          <w:spacing w:val="-6"/>
          <w:sz w:val="28"/>
        </w:rPr>
        <w:t xml:space="preserve">Record </w:t>
      </w:r>
      <w:r w:rsidR="009F48C0">
        <w:rPr>
          <w:rFonts w:ascii="Arial" w:hAnsi="Arial" w:cs="Arial"/>
          <w:b/>
          <w:spacing w:val="-6"/>
          <w:sz w:val="28"/>
        </w:rPr>
        <w:t xml:space="preserve">Inflows of </w:t>
      </w:r>
    </w:p>
    <w:p w14:paraId="70927A59" w14:textId="758D4FC4" w:rsidR="008C5612" w:rsidRDefault="003C7A1B" w:rsidP="008C5612">
      <w:pPr>
        <w:spacing w:after="0" w:line="240" w:lineRule="auto"/>
        <w:jc w:val="center"/>
        <w:rPr>
          <w:rFonts w:ascii="Arial" w:hAnsi="Arial" w:cs="Arial"/>
          <w:b/>
          <w:spacing w:val="-6"/>
          <w:sz w:val="28"/>
        </w:rPr>
      </w:pPr>
      <w:r>
        <w:rPr>
          <w:rFonts w:ascii="Arial" w:hAnsi="Arial" w:cs="Arial"/>
          <w:b/>
          <w:spacing w:val="-6"/>
          <w:sz w:val="28"/>
        </w:rPr>
        <w:t>$2</w:t>
      </w:r>
      <w:r w:rsidR="00C23CC3">
        <w:rPr>
          <w:rFonts w:ascii="Arial" w:hAnsi="Arial" w:cs="Arial"/>
          <w:b/>
          <w:spacing w:val="-6"/>
          <w:sz w:val="28"/>
        </w:rPr>
        <w:t>78</w:t>
      </w:r>
      <w:r>
        <w:rPr>
          <w:rFonts w:ascii="Arial" w:hAnsi="Arial" w:cs="Arial"/>
          <w:b/>
          <w:spacing w:val="-6"/>
          <w:sz w:val="28"/>
        </w:rPr>
        <w:t xml:space="preserve"> Million in January</w:t>
      </w:r>
      <w:r w:rsidR="002537AF">
        <w:rPr>
          <w:rFonts w:ascii="Arial" w:hAnsi="Arial" w:cs="Arial"/>
          <w:b/>
          <w:spacing w:val="-6"/>
          <w:sz w:val="28"/>
        </w:rPr>
        <w:t xml:space="preserve"> 202</w:t>
      </w:r>
      <w:r w:rsidR="002C456C">
        <w:rPr>
          <w:rFonts w:ascii="Arial" w:hAnsi="Arial" w:cs="Arial"/>
          <w:b/>
          <w:spacing w:val="-6"/>
          <w:sz w:val="28"/>
        </w:rPr>
        <w:t>2</w:t>
      </w:r>
    </w:p>
    <w:p w14:paraId="31019D46" w14:textId="77777777" w:rsidR="0010725E" w:rsidRPr="008C5612" w:rsidRDefault="0010725E" w:rsidP="008C5612">
      <w:pPr>
        <w:spacing w:after="0" w:line="240" w:lineRule="auto"/>
        <w:jc w:val="center"/>
        <w:rPr>
          <w:rFonts w:ascii="Arial" w:hAnsi="Arial" w:cs="Arial"/>
          <w:b/>
          <w:sz w:val="28"/>
        </w:rPr>
      </w:pPr>
    </w:p>
    <w:p w14:paraId="5FE39426" w14:textId="7F6EEDDA" w:rsidR="0082268A" w:rsidRDefault="008C5612" w:rsidP="00E465C5">
      <w:pPr>
        <w:spacing w:after="0" w:line="240" w:lineRule="auto"/>
        <w:jc w:val="both"/>
        <w:rPr>
          <w:rFonts w:ascii="Arial" w:hAnsi="Arial" w:cs="Arial"/>
          <w:sz w:val="20"/>
          <w:szCs w:val="20"/>
        </w:rPr>
      </w:pPr>
      <w:r w:rsidRPr="008C5612">
        <w:rPr>
          <w:rFonts w:ascii="Arial" w:hAnsi="Arial" w:cs="Arial"/>
          <w:b/>
          <w:sz w:val="20"/>
          <w:szCs w:val="20"/>
        </w:rPr>
        <w:t>New York, NY (</w:t>
      </w:r>
      <w:r w:rsidR="00107CB6">
        <w:rPr>
          <w:rFonts w:ascii="Arial" w:hAnsi="Arial" w:cs="Arial"/>
          <w:b/>
          <w:sz w:val="20"/>
          <w:szCs w:val="20"/>
        </w:rPr>
        <w:t xml:space="preserve">February </w:t>
      </w:r>
      <w:r w:rsidR="00775CE7">
        <w:rPr>
          <w:rFonts w:ascii="Arial" w:hAnsi="Arial" w:cs="Arial"/>
          <w:b/>
          <w:sz w:val="20"/>
          <w:szCs w:val="20"/>
        </w:rPr>
        <w:t>18</w:t>
      </w:r>
      <w:r w:rsidRPr="008C5612">
        <w:rPr>
          <w:rFonts w:ascii="Arial" w:hAnsi="Arial" w:cs="Arial"/>
          <w:b/>
          <w:sz w:val="20"/>
          <w:szCs w:val="20"/>
        </w:rPr>
        <w:t>, 202</w:t>
      </w:r>
      <w:r w:rsidR="0010725E">
        <w:rPr>
          <w:rFonts w:ascii="Arial" w:hAnsi="Arial" w:cs="Arial"/>
          <w:b/>
          <w:sz w:val="20"/>
          <w:szCs w:val="20"/>
        </w:rPr>
        <w:t>2</w:t>
      </w:r>
      <w:r w:rsidRPr="008C5612">
        <w:rPr>
          <w:rFonts w:ascii="Arial" w:hAnsi="Arial" w:cs="Arial"/>
          <w:b/>
          <w:sz w:val="20"/>
          <w:szCs w:val="20"/>
        </w:rPr>
        <w:t>)</w:t>
      </w:r>
      <w:r w:rsidRPr="008C5612">
        <w:rPr>
          <w:rFonts w:ascii="Arial" w:hAnsi="Arial" w:cs="Arial"/>
          <w:sz w:val="20"/>
          <w:szCs w:val="20"/>
        </w:rPr>
        <w:t xml:space="preserve"> – Bluerock Total Income+ Real Estate Fund (</w:t>
      </w:r>
      <w:r w:rsidR="001407F5">
        <w:rPr>
          <w:rFonts w:ascii="Arial" w:hAnsi="Arial" w:cs="Arial"/>
          <w:sz w:val="20"/>
          <w:szCs w:val="20"/>
        </w:rPr>
        <w:t xml:space="preserve"> "</w:t>
      </w:r>
      <w:r w:rsidR="001C26B7">
        <w:rPr>
          <w:rFonts w:ascii="Arial" w:hAnsi="Arial" w:cs="Arial"/>
          <w:sz w:val="20"/>
          <w:szCs w:val="20"/>
        </w:rPr>
        <w:t xml:space="preserve">Bluerock </w:t>
      </w:r>
      <w:r w:rsidRPr="008C5612">
        <w:rPr>
          <w:rFonts w:ascii="Arial" w:hAnsi="Arial" w:cs="Arial"/>
          <w:sz w:val="20"/>
          <w:szCs w:val="20"/>
        </w:rPr>
        <w:t>TI+</w:t>
      </w:r>
      <w:r w:rsidR="001C26B7">
        <w:rPr>
          <w:rFonts w:ascii="Arial" w:hAnsi="Arial" w:cs="Arial"/>
          <w:sz w:val="20"/>
          <w:szCs w:val="20"/>
        </w:rPr>
        <w:t xml:space="preserve"> Fund</w:t>
      </w:r>
      <w:r w:rsidRPr="008C5612">
        <w:rPr>
          <w:rFonts w:ascii="Arial" w:hAnsi="Arial" w:cs="Arial"/>
          <w:sz w:val="20"/>
          <w:szCs w:val="20"/>
        </w:rPr>
        <w:t>”</w:t>
      </w:r>
      <w:r w:rsidR="00F06F9C">
        <w:rPr>
          <w:rFonts w:ascii="Arial" w:hAnsi="Arial" w:cs="Arial"/>
          <w:sz w:val="20"/>
          <w:szCs w:val="20"/>
        </w:rPr>
        <w:t>, “Fund”,</w:t>
      </w:r>
      <w:r w:rsidRPr="008C5612">
        <w:rPr>
          <w:rFonts w:ascii="Arial" w:hAnsi="Arial" w:cs="Arial"/>
          <w:sz w:val="20"/>
          <w:szCs w:val="20"/>
        </w:rPr>
        <w:t xml:space="preserve"> tickers: TIPRX, TIPPX, TIPWX, TIPLX</w:t>
      </w:r>
      <w:r w:rsidR="00282BB3">
        <w:rPr>
          <w:rFonts w:ascii="Arial" w:hAnsi="Arial" w:cs="Arial"/>
          <w:sz w:val="20"/>
          <w:szCs w:val="20"/>
        </w:rPr>
        <w:t>, TIPMX</w:t>
      </w:r>
      <w:r w:rsidRPr="008C5612">
        <w:rPr>
          <w:rFonts w:ascii="Arial" w:hAnsi="Arial" w:cs="Arial"/>
          <w:sz w:val="20"/>
          <w:szCs w:val="20"/>
        </w:rPr>
        <w:t xml:space="preserve">) </w:t>
      </w:r>
      <w:r w:rsidR="006E4ED1">
        <w:rPr>
          <w:rFonts w:ascii="Arial" w:hAnsi="Arial" w:cs="Arial"/>
          <w:sz w:val="20"/>
          <w:szCs w:val="20"/>
        </w:rPr>
        <w:t>announced today record</w:t>
      </w:r>
      <w:r w:rsidR="0082268A">
        <w:rPr>
          <w:rFonts w:ascii="Arial" w:hAnsi="Arial" w:cs="Arial"/>
          <w:sz w:val="20"/>
          <w:szCs w:val="20"/>
        </w:rPr>
        <w:t xml:space="preserve"> new equity capital </w:t>
      </w:r>
      <w:r w:rsidR="002537AF">
        <w:rPr>
          <w:rFonts w:ascii="Arial" w:hAnsi="Arial" w:cs="Arial"/>
          <w:sz w:val="20"/>
          <w:szCs w:val="20"/>
        </w:rPr>
        <w:t>inflows</w:t>
      </w:r>
      <w:r w:rsidR="0082268A">
        <w:rPr>
          <w:rFonts w:ascii="Arial" w:hAnsi="Arial" w:cs="Arial"/>
          <w:sz w:val="20"/>
          <w:szCs w:val="20"/>
        </w:rPr>
        <w:t xml:space="preserve"> of </w:t>
      </w:r>
      <w:r w:rsidR="00C23CC3">
        <w:rPr>
          <w:rFonts w:ascii="Arial" w:hAnsi="Arial" w:cs="Arial"/>
          <w:sz w:val="20"/>
          <w:szCs w:val="20"/>
        </w:rPr>
        <w:t xml:space="preserve">approximately </w:t>
      </w:r>
      <w:r w:rsidR="0082268A">
        <w:rPr>
          <w:rFonts w:ascii="Arial" w:hAnsi="Arial" w:cs="Arial"/>
          <w:sz w:val="20"/>
          <w:szCs w:val="20"/>
        </w:rPr>
        <w:t>$2</w:t>
      </w:r>
      <w:r w:rsidR="00C23CC3">
        <w:rPr>
          <w:rFonts w:ascii="Arial" w:hAnsi="Arial" w:cs="Arial"/>
          <w:sz w:val="20"/>
          <w:szCs w:val="20"/>
        </w:rPr>
        <w:t>78</w:t>
      </w:r>
      <w:r w:rsidR="0082268A">
        <w:rPr>
          <w:rFonts w:ascii="Arial" w:hAnsi="Arial" w:cs="Arial"/>
          <w:sz w:val="20"/>
          <w:szCs w:val="20"/>
        </w:rPr>
        <w:t xml:space="preserve"> million in January</w:t>
      </w:r>
      <w:r w:rsidR="0095671B">
        <w:rPr>
          <w:rFonts w:ascii="Arial" w:hAnsi="Arial" w:cs="Arial"/>
          <w:sz w:val="20"/>
          <w:szCs w:val="20"/>
        </w:rPr>
        <w:t>.</w:t>
      </w:r>
      <w:r w:rsidR="00BB46B2" w:rsidRPr="00BB46B2">
        <w:rPr>
          <w:rFonts w:ascii="Arial" w:hAnsi="Arial" w:cs="Arial"/>
          <w:sz w:val="20"/>
          <w:szCs w:val="20"/>
          <w:vertAlign w:val="superscript"/>
        </w:rPr>
        <w:t>1</w:t>
      </w:r>
      <w:r w:rsidR="0082268A">
        <w:rPr>
          <w:rFonts w:ascii="Arial" w:hAnsi="Arial" w:cs="Arial"/>
          <w:sz w:val="20"/>
          <w:szCs w:val="20"/>
        </w:rPr>
        <w:t xml:space="preserve">   </w:t>
      </w:r>
    </w:p>
    <w:p w14:paraId="6C2C5677" w14:textId="77777777" w:rsidR="0082268A" w:rsidRDefault="0082268A" w:rsidP="00E465C5">
      <w:pPr>
        <w:spacing w:after="0" w:line="240" w:lineRule="auto"/>
        <w:jc w:val="both"/>
        <w:rPr>
          <w:rFonts w:ascii="Arial" w:hAnsi="Arial" w:cs="Arial"/>
          <w:sz w:val="20"/>
          <w:szCs w:val="20"/>
        </w:rPr>
      </w:pPr>
    </w:p>
    <w:p w14:paraId="44EFEB78" w14:textId="3029EA17" w:rsidR="00F62E7B" w:rsidRDefault="00D85A5A" w:rsidP="00E465C5">
      <w:pPr>
        <w:spacing w:after="0" w:line="240" w:lineRule="auto"/>
        <w:jc w:val="both"/>
        <w:rPr>
          <w:rFonts w:ascii="Arial" w:hAnsi="Arial" w:cs="Arial"/>
          <w:sz w:val="20"/>
          <w:szCs w:val="20"/>
        </w:rPr>
      </w:pPr>
      <w:r>
        <w:rPr>
          <w:rFonts w:ascii="Arial" w:hAnsi="Arial" w:cs="Arial"/>
          <w:sz w:val="20"/>
          <w:szCs w:val="20"/>
        </w:rPr>
        <w:t xml:space="preserve">Bluerock TI+ Fund </w:t>
      </w:r>
      <w:r w:rsidRPr="002B507E">
        <w:rPr>
          <w:rFonts w:ascii="Arial" w:hAnsi="Arial" w:cs="Arial"/>
          <w:sz w:val="20"/>
          <w:szCs w:val="20"/>
        </w:rPr>
        <w:t xml:space="preserve">reported a trailing </w:t>
      </w:r>
      <w:r w:rsidR="001C26B7">
        <w:rPr>
          <w:rFonts w:ascii="Arial" w:hAnsi="Arial" w:cs="Arial"/>
          <w:sz w:val="20"/>
          <w:szCs w:val="20"/>
        </w:rPr>
        <w:t>12-month</w:t>
      </w:r>
      <w:r w:rsidR="001C26B7" w:rsidRPr="002B507E">
        <w:rPr>
          <w:rFonts w:ascii="Arial" w:hAnsi="Arial" w:cs="Arial"/>
          <w:sz w:val="20"/>
          <w:szCs w:val="20"/>
        </w:rPr>
        <w:t xml:space="preserve"> </w:t>
      </w:r>
      <w:r w:rsidRPr="002B507E">
        <w:rPr>
          <w:rFonts w:ascii="Arial" w:hAnsi="Arial" w:cs="Arial"/>
          <w:sz w:val="20"/>
          <w:szCs w:val="20"/>
        </w:rPr>
        <w:t>return of 24.10% (TIPRX, A-share)</w:t>
      </w:r>
      <w:r w:rsidR="00C23CC3" w:rsidRPr="002B507E">
        <w:rPr>
          <w:rFonts w:ascii="Arial" w:hAnsi="Arial" w:cs="Arial"/>
          <w:sz w:val="20"/>
          <w:szCs w:val="20"/>
        </w:rPr>
        <w:t xml:space="preserve">, with </w:t>
      </w:r>
      <w:r w:rsidR="00CF340B" w:rsidRPr="002B507E">
        <w:rPr>
          <w:rFonts w:ascii="Arial" w:hAnsi="Arial" w:cs="Arial"/>
          <w:sz w:val="20"/>
          <w:szCs w:val="20"/>
        </w:rPr>
        <w:t>a remarkably low 1.</w:t>
      </w:r>
      <w:r w:rsidR="00812706" w:rsidRPr="002B507E">
        <w:rPr>
          <w:rFonts w:ascii="Arial" w:hAnsi="Arial" w:cs="Arial"/>
          <w:sz w:val="20"/>
          <w:szCs w:val="20"/>
        </w:rPr>
        <w:t>7</w:t>
      </w:r>
      <w:r w:rsidR="00CF340B" w:rsidRPr="002B507E">
        <w:rPr>
          <w:rFonts w:ascii="Arial" w:hAnsi="Arial" w:cs="Arial"/>
          <w:sz w:val="20"/>
          <w:szCs w:val="20"/>
        </w:rPr>
        <w:t xml:space="preserve">% annualized standard deviation since inception </w:t>
      </w:r>
      <w:r w:rsidR="00BD555A" w:rsidRPr="002B507E">
        <w:rPr>
          <w:rFonts w:ascii="Arial" w:hAnsi="Arial" w:cs="Arial"/>
          <w:sz w:val="20"/>
          <w:szCs w:val="20"/>
        </w:rPr>
        <w:t>(TIPWX, I-share)</w:t>
      </w:r>
      <w:r w:rsidR="004469BC" w:rsidRPr="002B507E">
        <w:rPr>
          <w:rFonts w:ascii="Arial" w:hAnsi="Arial" w:cs="Arial"/>
          <w:sz w:val="20"/>
          <w:szCs w:val="20"/>
        </w:rPr>
        <w:t>, both as of 2.14.22</w:t>
      </w:r>
      <w:r w:rsidR="00BD555A" w:rsidRPr="002B507E">
        <w:rPr>
          <w:rFonts w:ascii="Arial" w:hAnsi="Arial" w:cs="Arial"/>
          <w:sz w:val="20"/>
          <w:szCs w:val="20"/>
        </w:rPr>
        <w:t xml:space="preserve">. </w:t>
      </w:r>
      <w:r w:rsidR="004F0CB3" w:rsidRPr="002B507E">
        <w:rPr>
          <w:rFonts w:ascii="Arial" w:hAnsi="Arial" w:cs="Arial"/>
          <w:sz w:val="20"/>
          <w:szCs w:val="20"/>
        </w:rPr>
        <w:t xml:space="preserve"> </w:t>
      </w:r>
      <w:r w:rsidR="00F0260B" w:rsidRPr="002B507E">
        <w:rPr>
          <w:rFonts w:ascii="Arial" w:hAnsi="Arial" w:cs="Arial"/>
          <w:sz w:val="20"/>
          <w:szCs w:val="20"/>
        </w:rPr>
        <w:t>T</w:t>
      </w:r>
      <w:r w:rsidR="004F0CB3" w:rsidRPr="002B507E">
        <w:rPr>
          <w:rFonts w:ascii="Arial" w:hAnsi="Arial" w:cs="Arial"/>
          <w:sz w:val="20"/>
          <w:szCs w:val="20"/>
        </w:rPr>
        <w:t xml:space="preserve">he Fund’s annualized net return </w:t>
      </w:r>
      <w:r w:rsidR="00670826" w:rsidRPr="002B507E">
        <w:rPr>
          <w:rFonts w:ascii="Arial" w:hAnsi="Arial" w:cs="Arial"/>
          <w:sz w:val="20"/>
          <w:szCs w:val="20"/>
        </w:rPr>
        <w:t xml:space="preserve">to shareholders since inception </w:t>
      </w:r>
      <w:r w:rsidR="004F0CB3" w:rsidRPr="002B507E">
        <w:rPr>
          <w:rFonts w:ascii="Arial" w:hAnsi="Arial" w:cs="Arial"/>
          <w:sz w:val="20"/>
          <w:szCs w:val="20"/>
        </w:rPr>
        <w:t>is 8.</w:t>
      </w:r>
      <w:r w:rsidR="00C23CC3" w:rsidRPr="002B507E">
        <w:rPr>
          <w:rFonts w:ascii="Arial" w:hAnsi="Arial" w:cs="Arial"/>
          <w:sz w:val="20"/>
          <w:szCs w:val="20"/>
        </w:rPr>
        <w:t>9</w:t>
      </w:r>
      <w:r w:rsidR="002237B0">
        <w:rPr>
          <w:rFonts w:ascii="Arial" w:hAnsi="Arial" w:cs="Arial"/>
          <w:sz w:val="20"/>
          <w:szCs w:val="20"/>
        </w:rPr>
        <w:t>3</w:t>
      </w:r>
      <w:r w:rsidR="004F0CB3" w:rsidRPr="002B507E">
        <w:rPr>
          <w:rFonts w:ascii="Arial" w:hAnsi="Arial" w:cs="Arial"/>
          <w:sz w:val="20"/>
          <w:szCs w:val="20"/>
        </w:rPr>
        <w:t>%</w:t>
      </w:r>
      <w:r w:rsidR="004D79B8" w:rsidRPr="002B507E">
        <w:rPr>
          <w:rFonts w:ascii="Arial" w:hAnsi="Arial" w:cs="Arial"/>
          <w:sz w:val="20"/>
          <w:szCs w:val="20"/>
        </w:rPr>
        <w:t>*</w:t>
      </w:r>
      <w:r w:rsidR="002537AF">
        <w:rPr>
          <w:rFonts w:ascii="Arial" w:hAnsi="Arial" w:cs="Arial"/>
          <w:sz w:val="20"/>
          <w:szCs w:val="20"/>
        </w:rPr>
        <w:t>, adding substantial annualized NAV growth beyond the 5.25% annualized distribution</w:t>
      </w:r>
      <w:r w:rsidR="009F48C0">
        <w:rPr>
          <w:rFonts w:ascii="Arial" w:hAnsi="Arial" w:cs="Arial"/>
          <w:sz w:val="20"/>
          <w:szCs w:val="20"/>
        </w:rPr>
        <w:t xml:space="preserve">, with positive returns in every year since inception </w:t>
      </w:r>
      <w:r w:rsidR="001C26B7">
        <w:rPr>
          <w:rFonts w:ascii="Arial" w:hAnsi="Arial" w:cs="Arial"/>
          <w:sz w:val="20"/>
          <w:szCs w:val="20"/>
        </w:rPr>
        <w:t>in</w:t>
      </w:r>
      <w:r w:rsidR="0095671B">
        <w:rPr>
          <w:rFonts w:ascii="Arial" w:hAnsi="Arial" w:cs="Arial"/>
          <w:sz w:val="20"/>
          <w:szCs w:val="20"/>
        </w:rPr>
        <w:t xml:space="preserve"> 2012 </w:t>
      </w:r>
      <w:r w:rsidR="004F0CB3" w:rsidRPr="002B507E">
        <w:rPr>
          <w:rFonts w:ascii="Arial" w:hAnsi="Arial" w:cs="Arial"/>
          <w:sz w:val="20"/>
          <w:szCs w:val="20"/>
        </w:rPr>
        <w:t xml:space="preserve">(TIPRX, A-share, no load, </w:t>
      </w:r>
      <w:r w:rsidR="001C26B7">
        <w:rPr>
          <w:rFonts w:ascii="Arial" w:hAnsi="Arial" w:cs="Arial"/>
          <w:sz w:val="20"/>
          <w:szCs w:val="20"/>
        </w:rPr>
        <w:t>the Fund</w:t>
      </w:r>
      <w:r w:rsidR="00CF340B" w:rsidRPr="002B507E">
        <w:rPr>
          <w:rFonts w:ascii="Arial" w:hAnsi="Arial" w:cs="Arial"/>
          <w:sz w:val="20"/>
          <w:szCs w:val="20"/>
        </w:rPr>
        <w:t xml:space="preserve">’s </w:t>
      </w:r>
      <w:r w:rsidR="004F0CB3" w:rsidRPr="002B507E">
        <w:rPr>
          <w:rFonts w:ascii="Arial" w:hAnsi="Arial" w:cs="Arial"/>
          <w:sz w:val="20"/>
          <w:szCs w:val="20"/>
        </w:rPr>
        <w:t>longest running share class</w:t>
      </w:r>
      <w:r w:rsidR="00F0260B" w:rsidRPr="002B507E">
        <w:rPr>
          <w:rFonts w:ascii="Arial" w:hAnsi="Arial" w:cs="Arial"/>
          <w:sz w:val="20"/>
          <w:szCs w:val="20"/>
        </w:rPr>
        <w:t xml:space="preserve">, as of </w:t>
      </w:r>
      <w:r w:rsidR="00C23CC3" w:rsidRPr="002B507E">
        <w:rPr>
          <w:rFonts w:ascii="Arial" w:hAnsi="Arial" w:cs="Arial"/>
          <w:sz w:val="20"/>
          <w:szCs w:val="20"/>
        </w:rPr>
        <w:t>2.14</w:t>
      </w:r>
      <w:r w:rsidR="00F0260B" w:rsidRPr="002B507E">
        <w:rPr>
          <w:rFonts w:ascii="Arial" w:hAnsi="Arial" w:cs="Arial"/>
          <w:sz w:val="20"/>
          <w:szCs w:val="20"/>
        </w:rPr>
        <w:t>.22</w:t>
      </w:r>
      <w:r w:rsidR="004F0CB3" w:rsidRPr="002B507E">
        <w:rPr>
          <w:rFonts w:ascii="Arial" w:hAnsi="Arial" w:cs="Arial"/>
          <w:sz w:val="20"/>
          <w:szCs w:val="20"/>
        </w:rPr>
        <w:t>)</w:t>
      </w:r>
      <w:r w:rsidR="00F62E7B" w:rsidRPr="002B507E">
        <w:rPr>
          <w:rFonts w:ascii="Arial" w:hAnsi="Arial" w:cs="Arial"/>
          <w:sz w:val="20"/>
          <w:szCs w:val="20"/>
        </w:rPr>
        <w:t>.</w:t>
      </w:r>
      <w:r w:rsidR="002537AF">
        <w:rPr>
          <w:rFonts w:ascii="Arial" w:hAnsi="Arial" w:cs="Arial"/>
          <w:sz w:val="20"/>
          <w:szCs w:val="20"/>
        </w:rPr>
        <w:t xml:space="preserve"> </w:t>
      </w:r>
    </w:p>
    <w:p w14:paraId="437725CE" w14:textId="27E2DAC8" w:rsidR="00A30095" w:rsidRDefault="004F0CB3" w:rsidP="00E465C5">
      <w:pPr>
        <w:spacing w:after="0" w:line="240" w:lineRule="auto"/>
        <w:jc w:val="both"/>
        <w:rPr>
          <w:rFonts w:ascii="Arial" w:hAnsi="Arial" w:cs="Arial"/>
          <w:sz w:val="20"/>
          <w:szCs w:val="20"/>
        </w:rPr>
      </w:pPr>
      <w:r>
        <w:rPr>
          <w:rFonts w:ascii="Arial" w:hAnsi="Arial" w:cs="Arial"/>
          <w:sz w:val="20"/>
          <w:szCs w:val="20"/>
        </w:rPr>
        <w:t xml:space="preserve"> </w:t>
      </w:r>
      <w:r w:rsidR="00B5470C">
        <w:rPr>
          <w:rFonts w:ascii="Arial" w:hAnsi="Arial" w:cs="Arial"/>
          <w:sz w:val="20"/>
          <w:szCs w:val="20"/>
        </w:rPr>
        <w:t xml:space="preserve"> </w:t>
      </w:r>
    </w:p>
    <w:p w14:paraId="4B691B30" w14:textId="4F60652D" w:rsidR="00F06F9C" w:rsidRDefault="00BB46B2" w:rsidP="00BB46B2">
      <w:pPr>
        <w:spacing w:after="0" w:line="240" w:lineRule="auto"/>
        <w:jc w:val="both"/>
        <w:rPr>
          <w:rFonts w:ascii="Arial" w:hAnsi="Arial" w:cs="Arial"/>
          <w:sz w:val="20"/>
          <w:szCs w:val="20"/>
        </w:rPr>
      </w:pPr>
      <w:r w:rsidRPr="008C5612">
        <w:rPr>
          <w:rFonts w:ascii="Arial" w:hAnsi="Arial" w:cs="Arial"/>
          <w:sz w:val="20"/>
          <w:szCs w:val="20"/>
        </w:rPr>
        <w:t>“</w:t>
      </w:r>
      <w:r w:rsidR="00F06F9C">
        <w:rPr>
          <w:rFonts w:ascii="Arial" w:hAnsi="Arial" w:cs="Arial"/>
          <w:sz w:val="20"/>
          <w:szCs w:val="20"/>
        </w:rPr>
        <w:t>A</w:t>
      </w:r>
      <w:r w:rsidR="00F06F9C" w:rsidRPr="00F06F9C">
        <w:rPr>
          <w:rFonts w:ascii="Arial" w:hAnsi="Arial" w:cs="Arial"/>
          <w:sz w:val="20"/>
          <w:szCs w:val="20"/>
        </w:rPr>
        <w:t xml:space="preserve">t a time </w:t>
      </w:r>
      <w:r w:rsidR="009F48C0">
        <w:rPr>
          <w:rFonts w:ascii="Arial" w:hAnsi="Arial" w:cs="Arial"/>
          <w:sz w:val="20"/>
          <w:szCs w:val="20"/>
        </w:rPr>
        <w:t>of</w:t>
      </w:r>
      <w:r w:rsidR="00F06F9C" w:rsidRPr="00F06F9C">
        <w:rPr>
          <w:rFonts w:ascii="Arial" w:hAnsi="Arial" w:cs="Arial"/>
          <w:sz w:val="20"/>
          <w:szCs w:val="20"/>
        </w:rPr>
        <w:t xml:space="preserve"> </w:t>
      </w:r>
      <w:r w:rsidR="009F48C0">
        <w:rPr>
          <w:rFonts w:ascii="Arial" w:hAnsi="Arial" w:cs="Arial"/>
          <w:sz w:val="20"/>
          <w:szCs w:val="20"/>
        </w:rPr>
        <w:t xml:space="preserve">both </w:t>
      </w:r>
      <w:r w:rsidR="00513CF4">
        <w:rPr>
          <w:rFonts w:ascii="Arial" w:hAnsi="Arial" w:cs="Arial"/>
          <w:sz w:val="20"/>
          <w:szCs w:val="20"/>
        </w:rPr>
        <w:t>high equity market valuations</w:t>
      </w:r>
      <w:r w:rsidR="009F48C0">
        <w:rPr>
          <w:rFonts w:ascii="Arial" w:hAnsi="Arial" w:cs="Arial"/>
          <w:sz w:val="20"/>
          <w:szCs w:val="20"/>
        </w:rPr>
        <w:t xml:space="preserve"> and increased volatility across the major equity indices</w:t>
      </w:r>
      <w:r w:rsidR="00513CF4">
        <w:rPr>
          <w:rFonts w:ascii="Arial" w:hAnsi="Arial" w:cs="Arial"/>
          <w:sz w:val="20"/>
          <w:szCs w:val="20"/>
        </w:rPr>
        <w:t xml:space="preserve"> </w:t>
      </w:r>
      <w:r w:rsidR="00F06F9C" w:rsidRPr="00F06F9C">
        <w:rPr>
          <w:rFonts w:ascii="Arial" w:hAnsi="Arial" w:cs="Arial"/>
          <w:sz w:val="20"/>
          <w:szCs w:val="20"/>
        </w:rPr>
        <w:t xml:space="preserve">and the </w:t>
      </w:r>
      <w:r w:rsidR="001C26B7">
        <w:rPr>
          <w:rFonts w:ascii="Arial" w:hAnsi="Arial" w:cs="Arial"/>
          <w:sz w:val="20"/>
          <w:szCs w:val="20"/>
        </w:rPr>
        <w:t>expectation</w:t>
      </w:r>
      <w:r w:rsidR="001C26B7" w:rsidRPr="00F06F9C">
        <w:rPr>
          <w:rFonts w:ascii="Arial" w:hAnsi="Arial" w:cs="Arial"/>
          <w:sz w:val="20"/>
          <w:szCs w:val="20"/>
        </w:rPr>
        <w:t xml:space="preserve"> </w:t>
      </w:r>
      <w:r w:rsidR="00F06F9C" w:rsidRPr="00F06F9C">
        <w:rPr>
          <w:rFonts w:ascii="Arial" w:hAnsi="Arial" w:cs="Arial"/>
          <w:sz w:val="20"/>
          <w:szCs w:val="20"/>
        </w:rPr>
        <w:t>of rising rates</w:t>
      </w:r>
      <w:r w:rsidR="00F06F9C">
        <w:rPr>
          <w:rFonts w:ascii="Arial" w:hAnsi="Arial" w:cs="Arial"/>
          <w:sz w:val="20"/>
          <w:szCs w:val="20"/>
        </w:rPr>
        <w:t xml:space="preserve">, we believe </w:t>
      </w:r>
      <w:r w:rsidR="00F06F9C" w:rsidRPr="00F06F9C">
        <w:rPr>
          <w:rFonts w:ascii="Arial" w:hAnsi="Arial" w:cs="Arial"/>
          <w:sz w:val="20"/>
          <w:szCs w:val="20"/>
        </w:rPr>
        <w:t>adviso</w:t>
      </w:r>
      <w:r w:rsidR="00F06F9C">
        <w:rPr>
          <w:rFonts w:ascii="Arial" w:hAnsi="Arial" w:cs="Arial"/>
          <w:sz w:val="20"/>
          <w:szCs w:val="20"/>
        </w:rPr>
        <w:t>r</w:t>
      </w:r>
      <w:r w:rsidR="00F06F9C" w:rsidRPr="00F06F9C">
        <w:rPr>
          <w:rFonts w:ascii="Arial" w:hAnsi="Arial" w:cs="Arial"/>
          <w:sz w:val="20"/>
          <w:szCs w:val="20"/>
        </w:rPr>
        <w:t xml:space="preserve">s </w:t>
      </w:r>
      <w:r w:rsidR="00F06F9C">
        <w:rPr>
          <w:rFonts w:ascii="Arial" w:hAnsi="Arial" w:cs="Arial"/>
          <w:sz w:val="20"/>
          <w:szCs w:val="20"/>
        </w:rPr>
        <w:t>and</w:t>
      </w:r>
      <w:r w:rsidR="00F06F9C" w:rsidRPr="00F06F9C">
        <w:rPr>
          <w:rFonts w:ascii="Arial" w:hAnsi="Arial" w:cs="Arial"/>
          <w:sz w:val="20"/>
          <w:szCs w:val="20"/>
        </w:rPr>
        <w:t xml:space="preserve"> investors </w:t>
      </w:r>
      <w:r w:rsidR="002537AF" w:rsidRPr="003F69C1">
        <w:rPr>
          <w:rFonts w:ascii="Arial" w:hAnsi="Arial" w:cs="Arial"/>
          <w:sz w:val="20"/>
          <w:szCs w:val="20"/>
        </w:rPr>
        <w:t xml:space="preserve">are </w:t>
      </w:r>
      <w:r w:rsidR="00D0617A" w:rsidRPr="003F69C1">
        <w:rPr>
          <w:rFonts w:ascii="Arial" w:hAnsi="Arial" w:cs="Arial"/>
          <w:sz w:val="20"/>
          <w:szCs w:val="20"/>
        </w:rPr>
        <w:t>utilizing</w:t>
      </w:r>
      <w:r w:rsidR="00F06F9C" w:rsidRPr="00D0617A">
        <w:rPr>
          <w:rFonts w:ascii="Arial" w:hAnsi="Arial" w:cs="Arial"/>
          <w:sz w:val="20"/>
          <w:szCs w:val="20"/>
        </w:rPr>
        <w:t xml:space="preserve"> Bluerock TI+ Fund as a holding</w:t>
      </w:r>
      <w:r w:rsidR="00F06F9C" w:rsidRPr="00F06F9C">
        <w:rPr>
          <w:rFonts w:ascii="Arial" w:hAnsi="Arial" w:cs="Arial"/>
          <w:sz w:val="20"/>
          <w:szCs w:val="20"/>
        </w:rPr>
        <w:t xml:space="preserve"> </w:t>
      </w:r>
      <w:r w:rsidR="00F06F9C">
        <w:rPr>
          <w:rFonts w:ascii="Arial" w:hAnsi="Arial" w:cs="Arial"/>
          <w:sz w:val="20"/>
          <w:szCs w:val="20"/>
        </w:rPr>
        <w:t>for greater stability of returns,</w:t>
      </w:r>
      <w:r w:rsidR="00F06F9C" w:rsidRPr="00F06F9C">
        <w:rPr>
          <w:rFonts w:ascii="Arial" w:hAnsi="Arial" w:cs="Arial"/>
          <w:sz w:val="20"/>
          <w:szCs w:val="20"/>
        </w:rPr>
        <w:t xml:space="preserve"> </w:t>
      </w:r>
      <w:r w:rsidR="00F06F9C">
        <w:rPr>
          <w:rFonts w:ascii="Arial" w:hAnsi="Arial" w:cs="Arial"/>
          <w:sz w:val="20"/>
          <w:szCs w:val="20"/>
        </w:rPr>
        <w:t xml:space="preserve">higher </w:t>
      </w:r>
      <w:r w:rsidR="00F06F9C" w:rsidRPr="00F06F9C">
        <w:rPr>
          <w:rFonts w:ascii="Arial" w:hAnsi="Arial" w:cs="Arial"/>
          <w:sz w:val="20"/>
          <w:szCs w:val="20"/>
        </w:rPr>
        <w:t>tax efficient income and substantial appreciation</w:t>
      </w:r>
      <w:r w:rsidR="00F06F9C">
        <w:rPr>
          <w:rFonts w:ascii="Arial" w:hAnsi="Arial" w:cs="Arial"/>
          <w:sz w:val="20"/>
          <w:szCs w:val="20"/>
        </w:rPr>
        <w:t xml:space="preserve"> potential</w:t>
      </w:r>
      <w:r w:rsidR="009F48C0">
        <w:rPr>
          <w:rFonts w:ascii="Arial" w:hAnsi="Arial" w:cs="Arial"/>
          <w:sz w:val="20"/>
          <w:szCs w:val="20"/>
        </w:rPr>
        <w:t xml:space="preserve"> </w:t>
      </w:r>
      <w:r w:rsidR="00D0617A">
        <w:rPr>
          <w:rFonts w:ascii="Arial" w:hAnsi="Arial" w:cs="Arial"/>
          <w:sz w:val="20"/>
          <w:szCs w:val="20"/>
        </w:rPr>
        <w:t xml:space="preserve">to mitigate </w:t>
      </w:r>
      <w:r w:rsidR="009F48C0">
        <w:rPr>
          <w:rFonts w:ascii="Arial" w:hAnsi="Arial" w:cs="Arial"/>
          <w:sz w:val="20"/>
          <w:szCs w:val="20"/>
        </w:rPr>
        <w:t>against pronounced inflationary dynamics</w:t>
      </w:r>
      <w:r>
        <w:rPr>
          <w:rFonts w:ascii="Arial" w:hAnsi="Arial" w:cs="Arial"/>
          <w:sz w:val="20"/>
          <w:szCs w:val="20"/>
        </w:rPr>
        <w:t>”,</w:t>
      </w:r>
      <w:r w:rsidRPr="00F62E7B">
        <w:t xml:space="preserve"> </w:t>
      </w:r>
      <w:r w:rsidRPr="00F62E7B">
        <w:rPr>
          <w:rFonts w:ascii="Arial" w:hAnsi="Arial" w:cs="Arial"/>
          <w:sz w:val="20"/>
          <w:szCs w:val="20"/>
        </w:rPr>
        <w:t>said Jeffrey Schwaber, CEO of Bluerock Capital Markets.</w:t>
      </w:r>
      <w:r>
        <w:rPr>
          <w:rFonts w:ascii="Arial" w:hAnsi="Arial" w:cs="Arial"/>
          <w:sz w:val="20"/>
          <w:szCs w:val="20"/>
        </w:rPr>
        <w:t xml:space="preserve"> </w:t>
      </w:r>
    </w:p>
    <w:p w14:paraId="5C741E9D" w14:textId="77777777" w:rsidR="00F06F9C" w:rsidRDefault="00F06F9C" w:rsidP="00BB46B2">
      <w:pPr>
        <w:spacing w:after="0" w:line="240" w:lineRule="auto"/>
        <w:jc w:val="both"/>
        <w:rPr>
          <w:rFonts w:ascii="Arial" w:hAnsi="Arial" w:cs="Arial"/>
          <w:sz w:val="20"/>
          <w:szCs w:val="20"/>
        </w:rPr>
      </w:pPr>
    </w:p>
    <w:p w14:paraId="29BED551" w14:textId="776A7F95" w:rsidR="00316EE2" w:rsidRDefault="00316EE2" w:rsidP="00BB46B2">
      <w:pPr>
        <w:spacing w:after="0" w:line="240" w:lineRule="auto"/>
        <w:jc w:val="both"/>
        <w:rPr>
          <w:rFonts w:ascii="Arial" w:hAnsi="Arial" w:cs="Arial"/>
          <w:sz w:val="20"/>
          <w:szCs w:val="20"/>
        </w:rPr>
      </w:pPr>
      <w:r>
        <w:rPr>
          <w:rFonts w:ascii="Arial" w:hAnsi="Arial" w:cs="Arial"/>
          <w:sz w:val="20"/>
          <w:szCs w:val="20"/>
        </w:rPr>
        <w:t xml:space="preserve">For the trailing </w:t>
      </w:r>
      <w:r w:rsidR="00D0617A">
        <w:rPr>
          <w:rFonts w:ascii="Arial" w:hAnsi="Arial" w:cs="Arial"/>
          <w:sz w:val="20"/>
          <w:szCs w:val="20"/>
        </w:rPr>
        <w:t>12-month</w:t>
      </w:r>
      <w:r>
        <w:rPr>
          <w:rFonts w:ascii="Arial" w:hAnsi="Arial" w:cs="Arial"/>
          <w:sz w:val="20"/>
          <w:szCs w:val="20"/>
        </w:rPr>
        <w:t xml:space="preserve"> period ending January 31, 2022, </w:t>
      </w:r>
      <w:r w:rsidR="0095671B">
        <w:rPr>
          <w:rFonts w:ascii="Arial" w:hAnsi="Arial" w:cs="Arial"/>
          <w:sz w:val="20"/>
          <w:szCs w:val="20"/>
        </w:rPr>
        <w:t xml:space="preserve">Bluerock </w:t>
      </w:r>
      <w:r>
        <w:rPr>
          <w:rFonts w:ascii="Arial" w:hAnsi="Arial" w:cs="Arial"/>
          <w:sz w:val="20"/>
          <w:szCs w:val="20"/>
        </w:rPr>
        <w:t>TI+ Fund has</w:t>
      </w:r>
      <w:r w:rsidR="00C1646A">
        <w:rPr>
          <w:rFonts w:ascii="Arial" w:hAnsi="Arial" w:cs="Arial"/>
          <w:sz w:val="20"/>
          <w:szCs w:val="20"/>
        </w:rPr>
        <w:t xml:space="preserve"> outperformed the leading stock and bond indices (TIPRX: 24.1</w:t>
      </w:r>
      <w:r w:rsidR="008E2D86">
        <w:rPr>
          <w:rFonts w:ascii="Arial" w:hAnsi="Arial" w:cs="Arial"/>
          <w:sz w:val="20"/>
          <w:szCs w:val="20"/>
        </w:rPr>
        <w:t>2</w:t>
      </w:r>
      <w:r w:rsidR="00C1646A">
        <w:rPr>
          <w:rFonts w:ascii="Arial" w:hAnsi="Arial" w:cs="Arial"/>
          <w:sz w:val="20"/>
          <w:szCs w:val="20"/>
        </w:rPr>
        <w:t xml:space="preserve">%, stocks: </w:t>
      </w:r>
      <w:r w:rsidR="008E2D86">
        <w:rPr>
          <w:rFonts w:ascii="Arial" w:hAnsi="Arial" w:cs="Arial"/>
          <w:sz w:val="20"/>
          <w:szCs w:val="20"/>
        </w:rPr>
        <w:t>23.29</w:t>
      </w:r>
      <w:r w:rsidR="00C1646A">
        <w:rPr>
          <w:rFonts w:ascii="Arial" w:hAnsi="Arial" w:cs="Arial"/>
          <w:sz w:val="20"/>
          <w:szCs w:val="20"/>
        </w:rPr>
        <w:t xml:space="preserve">%, bonds: </w:t>
      </w:r>
      <w:r w:rsidR="008E2D86">
        <w:rPr>
          <w:rFonts w:ascii="Arial" w:hAnsi="Arial" w:cs="Arial"/>
          <w:sz w:val="20"/>
          <w:szCs w:val="20"/>
        </w:rPr>
        <w:t>-2.97</w:t>
      </w:r>
      <w:r w:rsidR="00C1646A">
        <w:rPr>
          <w:rFonts w:ascii="Arial" w:hAnsi="Arial" w:cs="Arial"/>
          <w:sz w:val="20"/>
          <w:szCs w:val="20"/>
        </w:rPr>
        <w:t>%</w:t>
      </w:r>
      <w:r w:rsidR="009443A0">
        <w:rPr>
          <w:rFonts w:ascii="Arial" w:hAnsi="Arial" w:cs="Arial"/>
          <w:sz w:val="20"/>
          <w:szCs w:val="20"/>
        </w:rPr>
        <w:t>)</w:t>
      </w:r>
      <w:r w:rsidR="00C1646A">
        <w:rPr>
          <w:rFonts w:ascii="Arial" w:hAnsi="Arial" w:cs="Arial"/>
          <w:sz w:val="20"/>
          <w:szCs w:val="20"/>
        </w:rPr>
        <w:t xml:space="preserve"> with </w:t>
      </w:r>
      <w:r w:rsidR="002157D5">
        <w:rPr>
          <w:rFonts w:ascii="Arial" w:hAnsi="Arial" w:cs="Arial"/>
          <w:sz w:val="20"/>
          <w:szCs w:val="20"/>
        </w:rPr>
        <w:t>approximately 1/8</w:t>
      </w:r>
      <w:r w:rsidR="002157D5" w:rsidRPr="002B507E">
        <w:rPr>
          <w:rFonts w:ascii="Arial" w:hAnsi="Arial" w:cs="Arial"/>
          <w:sz w:val="20"/>
          <w:szCs w:val="20"/>
          <w:vertAlign w:val="superscript"/>
        </w:rPr>
        <w:t>th</w:t>
      </w:r>
      <w:r w:rsidR="002157D5">
        <w:rPr>
          <w:rFonts w:ascii="Arial" w:hAnsi="Arial" w:cs="Arial"/>
          <w:sz w:val="20"/>
          <w:szCs w:val="20"/>
        </w:rPr>
        <w:t xml:space="preserve"> </w:t>
      </w:r>
      <w:r w:rsidR="00C1646A">
        <w:rPr>
          <w:rFonts w:ascii="Arial" w:hAnsi="Arial" w:cs="Arial"/>
          <w:sz w:val="20"/>
          <w:szCs w:val="20"/>
        </w:rPr>
        <w:t>the volatility</w:t>
      </w:r>
      <w:r w:rsidR="002157D5">
        <w:rPr>
          <w:rFonts w:ascii="Arial" w:hAnsi="Arial" w:cs="Arial"/>
          <w:sz w:val="20"/>
          <w:szCs w:val="20"/>
        </w:rPr>
        <w:t xml:space="preserve"> of stocks and </w:t>
      </w:r>
      <w:r w:rsidR="009F48C0">
        <w:rPr>
          <w:rFonts w:ascii="Arial" w:hAnsi="Arial" w:cs="Arial"/>
          <w:sz w:val="20"/>
          <w:szCs w:val="20"/>
        </w:rPr>
        <w:t xml:space="preserve">less than </w:t>
      </w:r>
      <w:r w:rsidR="002157D5">
        <w:rPr>
          <w:rFonts w:ascii="Arial" w:hAnsi="Arial" w:cs="Arial"/>
          <w:sz w:val="20"/>
          <w:szCs w:val="20"/>
        </w:rPr>
        <w:t xml:space="preserve">½ </w:t>
      </w:r>
      <w:r w:rsidR="00734AAB">
        <w:rPr>
          <w:rFonts w:ascii="Arial" w:hAnsi="Arial" w:cs="Arial"/>
          <w:sz w:val="20"/>
          <w:szCs w:val="20"/>
        </w:rPr>
        <w:t xml:space="preserve">the volatility </w:t>
      </w:r>
      <w:r w:rsidR="002157D5">
        <w:rPr>
          <w:rFonts w:ascii="Arial" w:hAnsi="Arial" w:cs="Arial"/>
          <w:sz w:val="20"/>
          <w:szCs w:val="20"/>
        </w:rPr>
        <w:t>of bonds</w:t>
      </w:r>
      <w:r w:rsidR="00C1646A">
        <w:rPr>
          <w:rFonts w:ascii="Arial" w:hAnsi="Arial" w:cs="Arial"/>
          <w:sz w:val="20"/>
          <w:szCs w:val="20"/>
        </w:rPr>
        <w:t xml:space="preserve"> (as measured by standard deviation</w:t>
      </w:r>
      <w:r w:rsidR="00C80CEB">
        <w:rPr>
          <w:rFonts w:ascii="Arial" w:hAnsi="Arial" w:cs="Arial"/>
          <w:sz w:val="20"/>
          <w:szCs w:val="20"/>
        </w:rPr>
        <w:t>)</w:t>
      </w:r>
      <w:r w:rsidR="00C1646A" w:rsidRPr="00C1646A">
        <w:rPr>
          <w:rFonts w:ascii="Arial" w:hAnsi="Arial" w:cs="Arial"/>
          <w:sz w:val="20"/>
          <w:szCs w:val="20"/>
          <w:vertAlign w:val="superscript"/>
        </w:rPr>
        <w:t>2</w:t>
      </w:r>
      <w:r w:rsidR="00C1646A">
        <w:rPr>
          <w:rFonts w:ascii="Arial" w:hAnsi="Arial" w:cs="Arial"/>
          <w:sz w:val="20"/>
          <w:szCs w:val="20"/>
        </w:rPr>
        <w:t xml:space="preserve">.  </w:t>
      </w:r>
      <w:r w:rsidR="00FD395D" w:rsidRPr="00E94EEA">
        <w:rPr>
          <w:rFonts w:ascii="Arial" w:hAnsi="Arial" w:cs="Arial"/>
          <w:sz w:val="20"/>
          <w:szCs w:val="20"/>
        </w:rPr>
        <w:t xml:space="preserve">YTD during the recent equity market volatility, </w:t>
      </w:r>
      <w:r w:rsidR="0095671B" w:rsidRPr="00E94EEA">
        <w:rPr>
          <w:rFonts w:ascii="Arial" w:hAnsi="Arial" w:cs="Arial"/>
          <w:sz w:val="20"/>
          <w:szCs w:val="20"/>
        </w:rPr>
        <w:t xml:space="preserve">Bluerock </w:t>
      </w:r>
      <w:r w:rsidR="00FD395D" w:rsidRPr="00E94EEA">
        <w:rPr>
          <w:rFonts w:ascii="Arial" w:hAnsi="Arial" w:cs="Arial"/>
          <w:sz w:val="20"/>
          <w:szCs w:val="20"/>
        </w:rPr>
        <w:t xml:space="preserve">TI+ </w:t>
      </w:r>
      <w:r w:rsidR="0095671B" w:rsidRPr="00E94EEA">
        <w:rPr>
          <w:rFonts w:ascii="Arial" w:hAnsi="Arial" w:cs="Arial"/>
          <w:sz w:val="20"/>
          <w:szCs w:val="20"/>
        </w:rPr>
        <w:t xml:space="preserve">Fund </w:t>
      </w:r>
      <w:r w:rsidR="00FD395D" w:rsidRPr="00E94EEA">
        <w:rPr>
          <w:rFonts w:ascii="Arial" w:hAnsi="Arial" w:cs="Arial"/>
          <w:sz w:val="20"/>
          <w:szCs w:val="20"/>
        </w:rPr>
        <w:t>has delivered an approximate 1</w:t>
      </w:r>
      <w:r w:rsidR="00D04031">
        <w:rPr>
          <w:rFonts w:ascii="Arial" w:hAnsi="Arial" w:cs="Arial"/>
          <w:sz w:val="20"/>
          <w:szCs w:val="20"/>
        </w:rPr>
        <w:t>,</w:t>
      </w:r>
      <w:r w:rsidR="00941E61" w:rsidRPr="00E94EEA">
        <w:rPr>
          <w:rFonts w:ascii="Arial" w:hAnsi="Arial" w:cs="Arial"/>
          <w:sz w:val="20"/>
          <w:szCs w:val="20"/>
        </w:rPr>
        <w:t>150</w:t>
      </w:r>
      <w:r w:rsidR="00FD395D" w:rsidRPr="00E94EEA">
        <w:rPr>
          <w:rFonts w:ascii="Arial" w:hAnsi="Arial" w:cs="Arial"/>
          <w:sz w:val="20"/>
          <w:szCs w:val="20"/>
        </w:rPr>
        <w:t xml:space="preserve"> basis point beat of the S&amp;P 500, up </w:t>
      </w:r>
      <w:r w:rsidR="00941E61" w:rsidRPr="00E94EEA">
        <w:rPr>
          <w:rFonts w:ascii="Arial" w:hAnsi="Arial" w:cs="Arial"/>
          <w:sz w:val="20"/>
          <w:szCs w:val="20"/>
        </w:rPr>
        <w:t xml:space="preserve">nearly 4% </w:t>
      </w:r>
      <w:r w:rsidR="00FD395D" w:rsidRPr="00E94EEA">
        <w:rPr>
          <w:rFonts w:ascii="Arial" w:hAnsi="Arial" w:cs="Arial"/>
          <w:sz w:val="20"/>
          <w:szCs w:val="20"/>
        </w:rPr>
        <w:t>vs</w:t>
      </w:r>
      <w:r w:rsidR="0095671B" w:rsidRPr="00E94EEA">
        <w:rPr>
          <w:rFonts w:ascii="Arial" w:hAnsi="Arial" w:cs="Arial"/>
          <w:sz w:val="20"/>
          <w:szCs w:val="20"/>
        </w:rPr>
        <w:t>.</w:t>
      </w:r>
      <w:r w:rsidR="00FD395D" w:rsidRPr="00E94EEA">
        <w:rPr>
          <w:rFonts w:ascii="Arial" w:hAnsi="Arial" w:cs="Arial"/>
          <w:sz w:val="20"/>
          <w:szCs w:val="20"/>
        </w:rPr>
        <w:t xml:space="preserve"> the S&amp;P</w:t>
      </w:r>
      <w:r w:rsidR="0095671B" w:rsidRPr="00E94EEA">
        <w:rPr>
          <w:rFonts w:ascii="Arial" w:hAnsi="Arial" w:cs="Arial"/>
          <w:sz w:val="20"/>
          <w:szCs w:val="20"/>
        </w:rPr>
        <w:t xml:space="preserve"> 500</w:t>
      </w:r>
      <w:r w:rsidR="00FD395D" w:rsidRPr="00E94EEA">
        <w:rPr>
          <w:rFonts w:ascii="Arial" w:hAnsi="Arial" w:cs="Arial"/>
          <w:sz w:val="20"/>
          <w:szCs w:val="20"/>
        </w:rPr>
        <w:t xml:space="preserve">’s </w:t>
      </w:r>
      <w:r w:rsidR="0095671B" w:rsidRPr="00E94EEA">
        <w:rPr>
          <w:rFonts w:ascii="Arial" w:hAnsi="Arial" w:cs="Arial"/>
          <w:sz w:val="20"/>
          <w:szCs w:val="20"/>
        </w:rPr>
        <w:t>negative</w:t>
      </w:r>
      <w:r w:rsidR="00FD395D" w:rsidRPr="00E94EEA">
        <w:rPr>
          <w:rFonts w:ascii="Arial" w:hAnsi="Arial" w:cs="Arial"/>
          <w:sz w:val="20"/>
          <w:szCs w:val="20"/>
        </w:rPr>
        <w:t xml:space="preserve"> </w:t>
      </w:r>
      <w:r w:rsidR="00941E61" w:rsidRPr="00E94EEA">
        <w:rPr>
          <w:rFonts w:ascii="Arial" w:hAnsi="Arial" w:cs="Arial"/>
          <w:sz w:val="20"/>
          <w:szCs w:val="20"/>
        </w:rPr>
        <w:t>7.5</w:t>
      </w:r>
      <w:r w:rsidR="00FD395D" w:rsidRPr="00E94EEA">
        <w:rPr>
          <w:rFonts w:ascii="Arial" w:hAnsi="Arial" w:cs="Arial"/>
          <w:sz w:val="20"/>
          <w:szCs w:val="20"/>
        </w:rPr>
        <w:t>% returns</w:t>
      </w:r>
      <w:r w:rsidR="0095671B" w:rsidRPr="00E94EEA">
        <w:rPr>
          <w:rFonts w:ascii="Arial" w:hAnsi="Arial" w:cs="Arial"/>
          <w:sz w:val="20"/>
          <w:szCs w:val="20"/>
        </w:rPr>
        <w:t>, as of 2.1</w:t>
      </w:r>
      <w:r w:rsidR="00941E61" w:rsidRPr="00E94EEA">
        <w:rPr>
          <w:rFonts w:ascii="Arial" w:hAnsi="Arial" w:cs="Arial"/>
          <w:sz w:val="20"/>
          <w:szCs w:val="20"/>
        </w:rPr>
        <w:t>4</w:t>
      </w:r>
      <w:r w:rsidR="0095671B" w:rsidRPr="00E94EEA">
        <w:rPr>
          <w:rFonts w:ascii="Arial" w:hAnsi="Arial" w:cs="Arial"/>
          <w:sz w:val="20"/>
          <w:szCs w:val="20"/>
        </w:rPr>
        <w:t>.22</w:t>
      </w:r>
      <w:r w:rsidR="00FD395D" w:rsidRPr="00E94EEA">
        <w:rPr>
          <w:rFonts w:ascii="Arial" w:hAnsi="Arial" w:cs="Arial"/>
          <w:sz w:val="20"/>
          <w:szCs w:val="20"/>
        </w:rPr>
        <w:t>.</w:t>
      </w:r>
      <w:r w:rsidR="00FD395D">
        <w:rPr>
          <w:rFonts w:ascii="Arial" w:hAnsi="Arial" w:cs="Arial"/>
          <w:sz w:val="20"/>
          <w:szCs w:val="20"/>
        </w:rPr>
        <w:t xml:space="preserve"> </w:t>
      </w:r>
    </w:p>
    <w:p w14:paraId="3A2052CB" w14:textId="77777777" w:rsidR="00316EE2" w:rsidRDefault="00316EE2" w:rsidP="00BB46B2">
      <w:pPr>
        <w:spacing w:after="0" w:line="240" w:lineRule="auto"/>
        <w:jc w:val="both"/>
        <w:rPr>
          <w:rFonts w:ascii="Arial" w:hAnsi="Arial" w:cs="Arial"/>
          <w:sz w:val="20"/>
          <w:szCs w:val="20"/>
        </w:rPr>
      </w:pPr>
    </w:p>
    <w:p w14:paraId="0C023955" w14:textId="5D9E6753" w:rsidR="00BB46B2" w:rsidRDefault="00BB46B2" w:rsidP="00BB46B2">
      <w:pPr>
        <w:spacing w:after="0" w:line="240" w:lineRule="auto"/>
        <w:jc w:val="both"/>
        <w:rPr>
          <w:rFonts w:ascii="Arial" w:hAnsi="Arial" w:cs="Arial"/>
          <w:sz w:val="20"/>
          <w:szCs w:val="20"/>
        </w:rPr>
      </w:pPr>
      <w:r w:rsidRPr="00F0260B">
        <w:rPr>
          <w:rFonts w:ascii="Arial" w:hAnsi="Arial" w:cs="Arial"/>
          <w:sz w:val="20"/>
          <w:szCs w:val="20"/>
        </w:rPr>
        <w:t>“</w:t>
      </w:r>
      <w:r w:rsidR="009B7EA7">
        <w:rPr>
          <w:rFonts w:ascii="Arial" w:hAnsi="Arial" w:cs="Arial"/>
          <w:sz w:val="20"/>
          <w:szCs w:val="20"/>
        </w:rPr>
        <w:t>H</w:t>
      </w:r>
      <w:r>
        <w:rPr>
          <w:rFonts w:ascii="Arial" w:hAnsi="Arial" w:cs="Arial"/>
          <w:sz w:val="20"/>
          <w:szCs w:val="20"/>
        </w:rPr>
        <w:t xml:space="preserve">istorically, institutional real estate </w:t>
      </w:r>
      <w:r w:rsidR="00E4704B">
        <w:rPr>
          <w:rFonts w:ascii="Arial" w:hAnsi="Arial" w:cs="Arial"/>
          <w:sz w:val="20"/>
          <w:szCs w:val="20"/>
        </w:rPr>
        <w:t xml:space="preserve">performs </w:t>
      </w:r>
      <w:r w:rsidR="00E4704B" w:rsidRPr="00E4704B">
        <w:rPr>
          <w:rFonts w:ascii="Arial" w:hAnsi="Arial" w:cs="Arial"/>
          <w:sz w:val="20"/>
          <w:szCs w:val="20"/>
        </w:rPr>
        <w:t>above its long-term average</w:t>
      </w:r>
      <w:r w:rsidR="00E4704B">
        <w:rPr>
          <w:rFonts w:ascii="Arial" w:hAnsi="Arial" w:cs="Arial"/>
          <w:sz w:val="20"/>
          <w:szCs w:val="20"/>
        </w:rPr>
        <w:t xml:space="preserve"> </w:t>
      </w:r>
      <w:r>
        <w:rPr>
          <w:rFonts w:ascii="Arial" w:hAnsi="Arial" w:cs="Arial"/>
          <w:sz w:val="20"/>
          <w:szCs w:val="20"/>
        </w:rPr>
        <w:t xml:space="preserve">when emerging from recessionary periods and </w:t>
      </w:r>
      <w:r w:rsidRPr="00911053">
        <w:rPr>
          <w:rFonts w:ascii="Arial" w:hAnsi="Arial" w:cs="Arial"/>
          <w:sz w:val="20"/>
          <w:szCs w:val="20"/>
        </w:rPr>
        <w:t>during inflationary periods</w:t>
      </w:r>
      <w:r w:rsidR="0095563D" w:rsidRPr="0095563D">
        <w:rPr>
          <w:rFonts w:ascii="Arial" w:hAnsi="Arial" w:cs="Arial"/>
          <w:sz w:val="20"/>
          <w:szCs w:val="20"/>
          <w:vertAlign w:val="superscript"/>
        </w:rPr>
        <w:t>3</w:t>
      </w:r>
      <w:r w:rsidR="002537AF">
        <w:rPr>
          <w:rFonts w:ascii="Arial" w:hAnsi="Arial" w:cs="Arial"/>
          <w:sz w:val="20"/>
          <w:szCs w:val="20"/>
        </w:rPr>
        <w:t>.  We stated as our house view in late 2020</w:t>
      </w:r>
      <w:r w:rsidR="00734AAB">
        <w:rPr>
          <w:rFonts w:ascii="Arial" w:hAnsi="Arial" w:cs="Arial"/>
          <w:sz w:val="20"/>
          <w:szCs w:val="20"/>
        </w:rPr>
        <w:t xml:space="preserve"> that we were bullish on institutional real estate</w:t>
      </w:r>
      <w:r w:rsidR="002537AF">
        <w:rPr>
          <w:rFonts w:ascii="Arial" w:hAnsi="Arial" w:cs="Arial"/>
          <w:sz w:val="20"/>
          <w:szCs w:val="20"/>
        </w:rPr>
        <w:t xml:space="preserve"> and then</w:t>
      </w:r>
      <w:r w:rsidR="00F27A6C">
        <w:rPr>
          <w:rFonts w:ascii="Arial" w:hAnsi="Arial" w:cs="Arial"/>
          <w:sz w:val="20"/>
          <w:szCs w:val="20"/>
        </w:rPr>
        <w:t xml:space="preserve"> the Fund</w:t>
      </w:r>
      <w:r w:rsidR="002537AF">
        <w:rPr>
          <w:rFonts w:ascii="Arial" w:hAnsi="Arial" w:cs="Arial"/>
          <w:sz w:val="20"/>
          <w:szCs w:val="20"/>
        </w:rPr>
        <w:t xml:space="preserve"> delivered an approximate 22% return to </w:t>
      </w:r>
      <w:r w:rsidR="00F27A6C">
        <w:rPr>
          <w:rFonts w:ascii="Arial" w:hAnsi="Arial" w:cs="Arial"/>
          <w:sz w:val="20"/>
          <w:szCs w:val="20"/>
        </w:rPr>
        <w:t xml:space="preserve">its </w:t>
      </w:r>
      <w:r w:rsidR="002537AF">
        <w:rPr>
          <w:rFonts w:ascii="Arial" w:hAnsi="Arial" w:cs="Arial"/>
          <w:sz w:val="20"/>
          <w:szCs w:val="20"/>
        </w:rPr>
        <w:t xml:space="preserve">shareholders in 2021.  We maintain our bullish outlook, especially in </w:t>
      </w:r>
      <w:r w:rsidR="00F27A6C">
        <w:rPr>
          <w:rFonts w:ascii="Arial" w:hAnsi="Arial" w:cs="Arial"/>
          <w:sz w:val="20"/>
          <w:szCs w:val="20"/>
        </w:rPr>
        <w:t xml:space="preserve">Bluerock TI+ Fund’s </w:t>
      </w:r>
      <w:r w:rsidR="002537AF">
        <w:rPr>
          <w:rFonts w:ascii="Arial" w:hAnsi="Arial" w:cs="Arial"/>
          <w:sz w:val="20"/>
          <w:szCs w:val="20"/>
        </w:rPr>
        <w:t>high conviction sectors</w:t>
      </w:r>
      <w:r w:rsidR="00734AAB">
        <w:rPr>
          <w:rFonts w:ascii="Arial" w:hAnsi="Arial" w:cs="Arial"/>
          <w:sz w:val="20"/>
          <w:szCs w:val="20"/>
        </w:rPr>
        <w:t>”</w:t>
      </w:r>
      <w:r w:rsidR="002537AF">
        <w:rPr>
          <w:rFonts w:ascii="Arial" w:hAnsi="Arial" w:cs="Arial"/>
          <w:sz w:val="20"/>
          <w:szCs w:val="20"/>
        </w:rPr>
        <w:t>, added Schwaber.</w:t>
      </w:r>
      <w:r>
        <w:rPr>
          <w:rFonts w:ascii="Arial" w:hAnsi="Arial" w:cs="Arial"/>
          <w:sz w:val="20"/>
          <w:szCs w:val="20"/>
        </w:rPr>
        <w:t xml:space="preserve"> </w:t>
      </w:r>
    </w:p>
    <w:p w14:paraId="1B23C653" w14:textId="77777777" w:rsidR="00BB46B2" w:rsidRDefault="00BB46B2" w:rsidP="00E465C5">
      <w:pPr>
        <w:spacing w:after="0" w:line="240" w:lineRule="auto"/>
        <w:jc w:val="both"/>
        <w:rPr>
          <w:rFonts w:ascii="Arial" w:hAnsi="Arial" w:cs="Arial"/>
          <w:sz w:val="20"/>
          <w:szCs w:val="20"/>
        </w:rPr>
      </w:pPr>
    </w:p>
    <w:p w14:paraId="3E6CA05E" w14:textId="11A67F5A" w:rsidR="008C5612" w:rsidRDefault="004469BC" w:rsidP="00E465C5">
      <w:pPr>
        <w:spacing w:after="0" w:line="240" w:lineRule="auto"/>
        <w:jc w:val="both"/>
        <w:rPr>
          <w:rFonts w:ascii="Arial" w:hAnsi="Arial" w:cs="Arial"/>
          <w:sz w:val="20"/>
          <w:szCs w:val="20"/>
        </w:rPr>
      </w:pPr>
      <w:r>
        <w:rPr>
          <w:rFonts w:ascii="Arial" w:hAnsi="Arial" w:cs="Arial"/>
          <w:sz w:val="20"/>
          <w:szCs w:val="20"/>
        </w:rPr>
        <w:t xml:space="preserve">Bluerock </w:t>
      </w:r>
      <w:r w:rsidR="0006470B" w:rsidRPr="0006470B">
        <w:rPr>
          <w:rFonts w:ascii="Arial" w:hAnsi="Arial" w:cs="Arial"/>
          <w:sz w:val="20"/>
          <w:szCs w:val="20"/>
        </w:rPr>
        <w:t>TI+ Fund paid its 36th consecutive quarterly distribution in December 2021</w:t>
      </w:r>
      <w:r w:rsidR="0006470B">
        <w:rPr>
          <w:rFonts w:ascii="Arial" w:hAnsi="Arial" w:cs="Arial"/>
          <w:sz w:val="20"/>
          <w:szCs w:val="20"/>
        </w:rPr>
        <w:t xml:space="preserve"> at the annual rate of 5.25%</w:t>
      </w:r>
      <w:r w:rsidR="00F0260B">
        <w:rPr>
          <w:rFonts w:ascii="Arial" w:hAnsi="Arial" w:cs="Arial"/>
          <w:sz w:val="20"/>
          <w:szCs w:val="20"/>
          <w:vertAlign w:val="superscript"/>
        </w:rPr>
        <w:t>4</w:t>
      </w:r>
      <w:r w:rsidR="0006470B">
        <w:rPr>
          <w:rFonts w:ascii="Arial" w:hAnsi="Arial" w:cs="Arial"/>
          <w:sz w:val="20"/>
          <w:szCs w:val="20"/>
        </w:rPr>
        <w:t xml:space="preserve"> based on current NAV</w:t>
      </w:r>
      <w:r w:rsidR="0082268A">
        <w:rPr>
          <w:rFonts w:ascii="Arial" w:hAnsi="Arial" w:cs="Arial"/>
          <w:sz w:val="20"/>
          <w:szCs w:val="20"/>
        </w:rPr>
        <w:t xml:space="preserve"> </w:t>
      </w:r>
      <w:r w:rsidR="0082268A" w:rsidRPr="0082268A">
        <w:rPr>
          <w:rFonts w:ascii="Arial" w:hAnsi="Arial" w:cs="Arial"/>
          <w:sz w:val="20"/>
          <w:szCs w:val="20"/>
        </w:rPr>
        <w:t xml:space="preserve">bringing total Fund distributions </w:t>
      </w:r>
      <w:r w:rsidR="00D85A5A">
        <w:rPr>
          <w:rFonts w:ascii="Arial" w:hAnsi="Arial" w:cs="Arial"/>
          <w:sz w:val="20"/>
          <w:szCs w:val="20"/>
        </w:rPr>
        <w:t>paid to shareholders of more than $</w:t>
      </w:r>
      <w:r w:rsidR="0082268A" w:rsidRPr="0082268A">
        <w:rPr>
          <w:rFonts w:ascii="Arial" w:hAnsi="Arial" w:cs="Arial"/>
          <w:sz w:val="20"/>
          <w:szCs w:val="20"/>
        </w:rPr>
        <w:t>13</w:t>
      </w:r>
      <w:r w:rsidR="00941E61">
        <w:rPr>
          <w:rFonts w:ascii="Arial" w:hAnsi="Arial" w:cs="Arial"/>
          <w:sz w:val="20"/>
          <w:szCs w:val="20"/>
        </w:rPr>
        <w:t>.40</w:t>
      </w:r>
      <w:r w:rsidR="0082268A" w:rsidRPr="0082268A">
        <w:rPr>
          <w:rFonts w:ascii="Arial" w:hAnsi="Arial" w:cs="Arial"/>
          <w:sz w:val="20"/>
          <w:szCs w:val="20"/>
        </w:rPr>
        <w:t xml:space="preserve"> per share since inception (TIPRX, A-share)</w:t>
      </w:r>
      <w:r w:rsidR="0082268A">
        <w:rPr>
          <w:rFonts w:ascii="Arial" w:hAnsi="Arial" w:cs="Arial"/>
          <w:sz w:val="20"/>
          <w:szCs w:val="20"/>
        </w:rPr>
        <w:t>.</w:t>
      </w:r>
      <w:r w:rsidR="0082268A" w:rsidRPr="0082268A">
        <w:rPr>
          <w:rFonts w:ascii="Arial" w:hAnsi="Arial" w:cs="Arial"/>
          <w:sz w:val="20"/>
          <w:szCs w:val="20"/>
        </w:rPr>
        <w:t xml:space="preserve"> </w:t>
      </w:r>
      <w:r w:rsidR="0082268A">
        <w:rPr>
          <w:rFonts w:ascii="Arial" w:hAnsi="Arial" w:cs="Arial"/>
          <w:sz w:val="20"/>
          <w:szCs w:val="20"/>
        </w:rPr>
        <w:t xml:space="preserve"> </w:t>
      </w:r>
      <w:r w:rsidR="00CA701C" w:rsidRPr="004A6BA1">
        <w:rPr>
          <w:rFonts w:ascii="Arial" w:hAnsi="Arial" w:cs="Arial"/>
          <w:sz w:val="20"/>
          <w:szCs w:val="20"/>
        </w:rPr>
        <w:t>Since inception in 2012, the Fund’s NAV per share has increased</w:t>
      </w:r>
      <w:r w:rsidR="004F0CB3" w:rsidRPr="004A6BA1">
        <w:rPr>
          <w:rFonts w:ascii="Arial" w:hAnsi="Arial" w:cs="Arial"/>
          <w:sz w:val="20"/>
          <w:szCs w:val="20"/>
        </w:rPr>
        <w:t xml:space="preserve"> </w:t>
      </w:r>
      <w:r w:rsidR="00FD395D">
        <w:rPr>
          <w:rFonts w:ascii="Arial" w:hAnsi="Arial" w:cs="Arial"/>
          <w:sz w:val="20"/>
          <w:szCs w:val="20"/>
        </w:rPr>
        <w:t>over 40</w:t>
      </w:r>
      <w:r w:rsidR="004F0CB3" w:rsidRPr="004A6BA1">
        <w:rPr>
          <w:rFonts w:ascii="Arial" w:hAnsi="Arial" w:cs="Arial"/>
          <w:sz w:val="20"/>
          <w:szCs w:val="20"/>
        </w:rPr>
        <w:t xml:space="preserve">% </w:t>
      </w:r>
      <w:r w:rsidR="0006470B" w:rsidRPr="004A6BA1">
        <w:rPr>
          <w:rFonts w:ascii="Arial" w:hAnsi="Arial" w:cs="Arial"/>
          <w:sz w:val="20"/>
          <w:szCs w:val="20"/>
        </w:rPr>
        <w:t xml:space="preserve">from </w:t>
      </w:r>
      <w:r w:rsidR="004F0CB3" w:rsidRPr="004A6BA1">
        <w:rPr>
          <w:rFonts w:ascii="Arial" w:hAnsi="Arial" w:cs="Arial"/>
          <w:sz w:val="20"/>
          <w:szCs w:val="20"/>
        </w:rPr>
        <w:t xml:space="preserve">$25.00 </w:t>
      </w:r>
      <w:r w:rsidR="0006470B" w:rsidRPr="004A6BA1">
        <w:rPr>
          <w:rFonts w:ascii="Arial" w:hAnsi="Arial" w:cs="Arial"/>
          <w:sz w:val="20"/>
          <w:szCs w:val="20"/>
        </w:rPr>
        <w:t xml:space="preserve">per share </w:t>
      </w:r>
      <w:r w:rsidR="004F0CB3" w:rsidRPr="004A6BA1">
        <w:rPr>
          <w:rFonts w:ascii="Arial" w:hAnsi="Arial" w:cs="Arial"/>
          <w:sz w:val="20"/>
          <w:szCs w:val="20"/>
        </w:rPr>
        <w:t>to more than $</w:t>
      </w:r>
      <w:r w:rsidR="00D85A5A">
        <w:rPr>
          <w:rFonts w:ascii="Arial" w:hAnsi="Arial" w:cs="Arial"/>
          <w:sz w:val="20"/>
          <w:szCs w:val="20"/>
        </w:rPr>
        <w:t>35.00</w:t>
      </w:r>
      <w:r w:rsidR="004A6BA1" w:rsidRPr="004A6BA1">
        <w:rPr>
          <w:rFonts w:ascii="Arial" w:hAnsi="Arial" w:cs="Arial"/>
          <w:sz w:val="20"/>
          <w:szCs w:val="20"/>
        </w:rPr>
        <w:t xml:space="preserve"> </w:t>
      </w:r>
      <w:r w:rsidR="0006470B" w:rsidRPr="004A6BA1">
        <w:rPr>
          <w:rFonts w:ascii="Arial" w:hAnsi="Arial" w:cs="Arial"/>
          <w:sz w:val="20"/>
          <w:szCs w:val="20"/>
        </w:rPr>
        <w:t>per share</w:t>
      </w:r>
      <w:r w:rsidR="00B31C3E" w:rsidRPr="004A6BA1">
        <w:rPr>
          <w:rFonts w:ascii="Arial" w:hAnsi="Arial" w:cs="Arial"/>
          <w:sz w:val="20"/>
          <w:szCs w:val="20"/>
        </w:rPr>
        <w:t xml:space="preserve"> </w:t>
      </w:r>
      <w:r w:rsidR="004F0CB3" w:rsidRPr="004A6BA1">
        <w:rPr>
          <w:rFonts w:ascii="Arial" w:hAnsi="Arial" w:cs="Arial"/>
          <w:sz w:val="20"/>
          <w:szCs w:val="20"/>
        </w:rPr>
        <w:t>(</w:t>
      </w:r>
      <w:r w:rsidR="004A6BA1" w:rsidRPr="004A6BA1">
        <w:rPr>
          <w:rFonts w:ascii="Arial" w:hAnsi="Arial" w:cs="Arial"/>
          <w:sz w:val="20"/>
          <w:szCs w:val="20"/>
        </w:rPr>
        <w:t xml:space="preserve">A-share, </w:t>
      </w:r>
      <w:r w:rsidR="004F0CB3" w:rsidRPr="004A6BA1">
        <w:rPr>
          <w:rFonts w:ascii="Arial" w:hAnsi="Arial" w:cs="Arial"/>
          <w:sz w:val="20"/>
          <w:szCs w:val="20"/>
        </w:rPr>
        <w:t>as of 1.</w:t>
      </w:r>
      <w:r w:rsidR="004A6BA1" w:rsidRPr="004A6BA1">
        <w:rPr>
          <w:rFonts w:ascii="Arial" w:hAnsi="Arial" w:cs="Arial"/>
          <w:sz w:val="20"/>
          <w:szCs w:val="20"/>
        </w:rPr>
        <w:t>2</w:t>
      </w:r>
      <w:r w:rsidR="004A6BA1">
        <w:rPr>
          <w:rFonts w:ascii="Arial" w:hAnsi="Arial" w:cs="Arial"/>
          <w:sz w:val="20"/>
          <w:szCs w:val="20"/>
        </w:rPr>
        <w:t>7</w:t>
      </w:r>
      <w:r w:rsidR="004F0CB3" w:rsidRPr="004A6BA1">
        <w:rPr>
          <w:rFonts w:ascii="Arial" w:hAnsi="Arial" w:cs="Arial"/>
          <w:sz w:val="20"/>
          <w:szCs w:val="20"/>
        </w:rPr>
        <w:t>.22)</w:t>
      </w:r>
      <w:r w:rsidR="00D85A5A">
        <w:rPr>
          <w:rFonts w:ascii="Arial" w:hAnsi="Arial" w:cs="Arial"/>
          <w:sz w:val="20"/>
          <w:szCs w:val="20"/>
        </w:rPr>
        <w:t>; or a 40% increase</w:t>
      </w:r>
      <w:r w:rsidR="004F0CB3" w:rsidRPr="004A6BA1">
        <w:rPr>
          <w:rFonts w:ascii="Arial" w:hAnsi="Arial" w:cs="Arial"/>
          <w:sz w:val="20"/>
          <w:szCs w:val="20"/>
        </w:rPr>
        <w:t>.</w:t>
      </w:r>
      <w:r w:rsidR="0006470B" w:rsidRPr="004A6BA1">
        <w:rPr>
          <w:rFonts w:ascii="Arial" w:hAnsi="Arial" w:cs="Arial"/>
          <w:sz w:val="20"/>
          <w:szCs w:val="20"/>
        </w:rPr>
        <w:t xml:space="preserve">  Du</w:t>
      </w:r>
      <w:r w:rsidR="008C5612" w:rsidRPr="004A6BA1">
        <w:rPr>
          <w:rFonts w:ascii="Arial" w:hAnsi="Arial" w:cs="Arial"/>
          <w:sz w:val="20"/>
          <w:szCs w:val="20"/>
        </w:rPr>
        <w:t>e to th</w:t>
      </w:r>
      <w:r w:rsidR="0006470B" w:rsidRPr="004A6BA1">
        <w:rPr>
          <w:rFonts w:ascii="Arial" w:hAnsi="Arial" w:cs="Arial"/>
          <w:sz w:val="20"/>
          <w:szCs w:val="20"/>
        </w:rPr>
        <w:t>e growth in NAV</w:t>
      </w:r>
      <w:r w:rsidR="008C5612" w:rsidRPr="004A6BA1">
        <w:rPr>
          <w:rFonts w:ascii="Arial" w:hAnsi="Arial" w:cs="Arial"/>
          <w:sz w:val="20"/>
          <w:szCs w:val="20"/>
        </w:rPr>
        <w:t xml:space="preserve">, shareholders who purchased at </w:t>
      </w:r>
      <w:r w:rsidR="005A4F81" w:rsidRPr="004A6BA1">
        <w:rPr>
          <w:rFonts w:ascii="Arial" w:hAnsi="Arial" w:cs="Arial"/>
          <w:sz w:val="20"/>
          <w:szCs w:val="20"/>
        </w:rPr>
        <w:t xml:space="preserve">the </w:t>
      </w:r>
      <w:r w:rsidR="008C5612" w:rsidRPr="004A6BA1">
        <w:rPr>
          <w:rFonts w:ascii="Arial" w:hAnsi="Arial" w:cs="Arial"/>
          <w:sz w:val="20"/>
          <w:szCs w:val="20"/>
        </w:rPr>
        <w:t xml:space="preserve">inception NAV of $25/share </w:t>
      </w:r>
      <w:r w:rsidR="0006470B" w:rsidRPr="004A6BA1">
        <w:rPr>
          <w:rFonts w:ascii="Arial" w:hAnsi="Arial" w:cs="Arial"/>
          <w:sz w:val="20"/>
          <w:szCs w:val="20"/>
        </w:rPr>
        <w:t>earned</w:t>
      </w:r>
      <w:r w:rsidR="008C5612" w:rsidRPr="004A6BA1">
        <w:rPr>
          <w:rFonts w:ascii="Arial" w:hAnsi="Arial" w:cs="Arial"/>
          <w:sz w:val="20"/>
          <w:szCs w:val="20"/>
        </w:rPr>
        <w:t xml:space="preserve"> </w:t>
      </w:r>
      <w:r w:rsidR="0006470B" w:rsidRPr="004A6BA1">
        <w:rPr>
          <w:rFonts w:ascii="Arial" w:hAnsi="Arial" w:cs="Arial"/>
          <w:sz w:val="20"/>
          <w:szCs w:val="20"/>
        </w:rPr>
        <w:t>a</w:t>
      </w:r>
      <w:r w:rsidR="005A4F81" w:rsidRPr="004A6BA1">
        <w:rPr>
          <w:rFonts w:ascii="Arial" w:hAnsi="Arial" w:cs="Arial"/>
          <w:sz w:val="20"/>
          <w:szCs w:val="20"/>
        </w:rPr>
        <w:t>n</w:t>
      </w:r>
      <w:r w:rsidR="0006470B" w:rsidRPr="004A6BA1">
        <w:rPr>
          <w:rFonts w:ascii="Arial" w:hAnsi="Arial" w:cs="Arial"/>
          <w:sz w:val="20"/>
          <w:szCs w:val="20"/>
        </w:rPr>
        <w:t xml:space="preserve"> equivalent</w:t>
      </w:r>
      <w:r w:rsidR="0006470B">
        <w:rPr>
          <w:rFonts w:ascii="Arial" w:hAnsi="Arial" w:cs="Arial"/>
          <w:sz w:val="20"/>
          <w:szCs w:val="20"/>
        </w:rPr>
        <w:t xml:space="preserve"> </w:t>
      </w:r>
      <w:r w:rsidR="001F4E6F">
        <w:rPr>
          <w:rFonts w:ascii="Arial" w:hAnsi="Arial" w:cs="Arial"/>
          <w:sz w:val="20"/>
          <w:szCs w:val="20"/>
        </w:rPr>
        <w:t>7.1</w:t>
      </w:r>
      <w:r w:rsidR="008C5612" w:rsidRPr="00201BC2">
        <w:rPr>
          <w:rFonts w:ascii="Arial" w:hAnsi="Arial" w:cs="Arial"/>
          <w:sz w:val="20"/>
          <w:szCs w:val="20"/>
        </w:rPr>
        <w:t xml:space="preserve">% </w:t>
      </w:r>
      <w:r w:rsidR="00677C31">
        <w:rPr>
          <w:rFonts w:ascii="Arial" w:hAnsi="Arial" w:cs="Arial"/>
          <w:sz w:val="20"/>
          <w:szCs w:val="20"/>
        </w:rPr>
        <w:t xml:space="preserve">annualized </w:t>
      </w:r>
      <w:r w:rsidR="0006470B">
        <w:rPr>
          <w:rFonts w:ascii="Arial" w:hAnsi="Arial" w:cs="Arial"/>
          <w:sz w:val="20"/>
          <w:szCs w:val="20"/>
        </w:rPr>
        <w:t>distribution rate (</w:t>
      </w:r>
      <w:r w:rsidR="005A4F81">
        <w:rPr>
          <w:rFonts w:ascii="Arial" w:hAnsi="Arial" w:cs="Arial"/>
          <w:sz w:val="20"/>
          <w:szCs w:val="20"/>
        </w:rPr>
        <w:t xml:space="preserve">most </w:t>
      </w:r>
      <w:r w:rsidR="0006470B">
        <w:rPr>
          <w:rFonts w:ascii="Arial" w:hAnsi="Arial" w:cs="Arial"/>
          <w:sz w:val="20"/>
          <w:szCs w:val="20"/>
        </w:rPr>
        <w:t xml:space="preserve">current distribution </w:t>
      </w:r>
      <w:r w:rsidR="005A4F81">
        <w:rPr>
          <w:rFonts w:ascii="Arial" w:hAnsi="Arial" w:cs="Arial"/>
          <w:sz w:val="20"/>
          <w:szCs w:val="20"/>
        </w:rPr>
        <w:t>amount</w:t>
      </w:r>
      <w:r w:rsidR="0006470B">
        <w:rPr>
          <w:rFonts w:ascii="Arial" w:hAnsi="Arial" w:cs="Arial"/>
          <w:sz w:val="20"/>
          <w:szCs w:val="20"/>
        </w:rPr>
        <w:t xml:space="preserve"> </w:t>
      </w:r>
      <w:r w:rsidR="00677C31">
        <w:rPr>
          <w:rFonts w:ascii="Arial" w:hAnsi="Arial" w:cs="Arial"/>
          <w:sz w:val="20"/>
          <w:szCs w:val="20"/>
        </w:rPr>
        <w:t xml:space="preserve">annualized </w:t>
      </w:r>
      <w:r w:rsidR="0006470B">
        <w:rPr>
          <w:rFonts w:ascii="Arial" w:hAnsi="Arial" w:cs="Arial"/>
          <w:sz w:val="20"/>
          <w:szCs w:val="20"/>
        </w:rPr>
        <w:t>/</w:t>
      </w:r>
      <w:r w:rsidR="008C5612" w:rsidRPr="00201BC2">
        <w:rPr>
          <w:rFonts w:ascii="Arial" w:hAnsi="Arial" w:cs="Arial"/>
          <w:sz w:val="20"/>
          <w:szCs w:val="20"/>
        </w:rPr>
        <w:t xml:space="preserve"> investment amount</w:t>
      </w:r>
      <w:r w:rsidR="0006470B">
        <w:rPr>
          <w:rFonts w:ascii="Arial" w:hAnsi="Arial" w:cs="Arial"/>
          <w:sz w:val="20"/>
          <w:szCs w:val="20"/>
        </w:rPr>
        <w:t>)</w:t>
      </w:r>
      <w:r w:rsidR="00785AAA">
        <w:rPr>
          <w:rFonts w:ascii="Arial" w:hAnsi="Arial" w:cs="Arial"/>
          <w:sz w:val="20"/>
          <w:szCs w:val="20"/>
        </w:rPr>
        <w:t xml:space="preserve">.   </w:t>
      </w:r>
      <w:r w:rsidR="008C5612" w:rsidRPr="008C5612">
        <w:rPr>
          <w:rFonts w:ascii="Arial" w:hAnsi="Arial" w:cs="Arial"/>
          <w:sz w:val="20"/>
          <w:szCs w:val="20"/>
        </w:rPr>
        <w:t xml:space="preserve"> </w:t>
      </w:r>
    </w:p>
    <w:p w14:paraId="23D12624" w14:textId="29B10008" w:rsidR="000B7FB4" w:rsidRDefault="000B7FB4" w:rsidP="00E465C5">
      <w:pPr>
        <w:spacing w:after="0" w:line="240" w:lineRule="auto"/>
        <w:jc w:val="both"/>
        <w:rPr>
          <w:rFonts w:ascii="Arial" w:hAnsi="Arial" w:cs="Arial"/>
          <w:sz w:val="20"/>
          <w:szCs w:val="20"/>
        </w:rPr>
      </w:pPr>
    </w:p>
    <w:p w14:paraId="065AFB4A" w14:textId="20EECA59" w:rsidR="000B7FB4" w:rsidRPr="00F06F9C" w:rsidRDefault="000B7FB4" w:rsidP="00E465C5">
      <w:pPr>
        <w:spacing w:after="0" w:line="240" w:lineRule="auto"/>
        <w:jc w:val="both"/>
        <w:rPr>
          <w:rFonts w:ascii="Arial" w:hAnsi="Arial" w:cs="Arial"/>
          <w:sz w:val="20"/>
          <w:szCs w:val="20"/>
        </w:rPr>
      </w:pPr>
      <w:r w:rsidRPr="00F06F9C">
        <w:rPr>
          <w:rFonts w:ascii="Arial" w:hAnsi="Arial" w:cs="Arial"/>
          <w:sz w:val="20"/>
          <w:szCs w:val="20"/>
        </w:rPr>
        <w:t xml:space="preserve">Further, Bluerock </w:t>
      </w:r>
      <w:r w:rsidR="00F27A6C">
        <w:rPr>
          <w:rFonts w:ascii="Arial" w:hAnsi="Arial" w:cs="Arial"/>
          <w:sz w:val="20"/>
          <w:szCs w:val="20"/>
        </w:rPr>
        <w:t>TI</w:t>
      </w:r>
      <w:r w:rsidRPr="00F06F9C">
        <w:rPr>
          <w:rFonts w:ascii="Arial" w:hAnsi="Arial" w:cs="Arial"/>
          <w:sz w:val="20"/>
          <w:szCs w:val="20"/>
        </w:rPr>
        <w:t>+</w:t>
      </w:r>
      <w:r w:rsidR="00F27A6C">
        <w:rPr>
          <w:rFonts w:ascii="Arial" w:hAnsi="Arial" w:cs="Arial"/>
          <w:sz w:val="20"/>
          <w:szCs w:val="20"/>
        </w:rPr>
        <w:t xml:space="preserve"> Fund</w:t>
      </w:r>
      <w:r w:rsidRPr="00F06F9C">
        <w:rPr>
          <w:rFonts w:ascii="Arial" w:hAnsi="Arial" w:cs="Arial"/>
          <w:sz w:val="20"/>
          <w:szCs w:val="20"/>
        </w:rPr>
        <w:t xml:space="preserve"> has been a consistent leader in risk-adjusted performance generating the single highest Sharpe and </w:t>
      </w:r>
      <w:proofErr w:type="spellStart"/>
      <w:r w:rsidRPr="00F06F9C">
        <w:rPr>
          <w:rFonts w:ascii="Arial" w:hAnsi="Arial" w:cs="Arial"/>
          <w:sz w:val="20"/>
          <w:szCs w:val="20"/>
        </w:rPr>
        <w:t>Sortino</w:t>
      </w:r>
      <w:proofErr w:type="spellEnd"/>
      <w:r w:rsidRPr="00F06F9C">
        <w:rPr>
          <w:rFonts w:ascii="Arial" w:hAnsi="Arial" w:cs="Arial"/>
          <w:sz w:val="20"/>
          <w:szCs w:val="20"/>
        </w:rPr>
        <w:t xml:space="preserve"> Ratios (key measures of risk-adjusted returns) of all domestic ‘40 Act funds in the trailing 5-</w:t>
      </w:r>
      <w:r w:rsidRPr="002B507E">
        <w:rPr>
          <w:rFonts w:ascii="Arial" w:hAnsi="Arial" w:cs="Arial"/>
          <w:sz w:val="20"/>
          <w:szCs w:val="20"/>
        </w:rPr>
        <w:t xml:space="preserve">year </w:t>
      </w:r>
      <w:r w:rsidR="000F4E03" w:rsidRPr="002B507E">
        <w:rPr>
          <w:rFonts w:ascii="Arial" w:hAnsi="Arial" w:cs="Arial"/>
          <w:sz w:val="20"/>
          <w:szCs w:val="20"/>
        </w:rPr>
        <w:t>(7,8</w:t>
      </w:r>
      <w:r w:rsidR="00B20F2E" w:rsidRPr="002B507E">
        <w:rPr>
          <w:rFonts w:ascii="Arial" w:hAnsi="Arial" w:cs="Arial"/>
          <w:sz w:val="20"/>
          <w:szCs w:val="20"/>
        </w:rPr>
        <w:t>64</w:t>
      </w:r>
      <w:r w:rsidR="000F4E03" w:rsidRPr="002B507E">
        <w:rPr>
          <w:rFonts w:ascii="Arial" w:hAnsi="Arial" w:cs="Arial"/>
          <w:sz w:val="20"/>
          <w:szCs w:val="20"/>
        </w:rPr>
        <w:t xml:space="preserve"> funds) </w:t>
      </w:r>
      <w:r w:rsidRPr="002B507E">
        <w:rPr>
          <w:rFonts w:ascii="Arial" w:hAnsi="Arial" w:cs="Arial"/>
          <w:sz w:val="20"/>
          <w:szCs w:val="20"/>
        </w:rPr>
        <w:t xml:space="preserve">and since inception </w:t>
      </w:r>
      <w:r w:rsidR="000F4E03" w:rsidRPr="002B507E">
        <w:rPr>
          <w:rFonts w:ascii="Arial" w:hAnsi="Arial" w:cs="Arial"/>
          <w:sz w:val="20"/>
          <w:szCs w:val="20"/>
        </w:rPr>
        <w:t>(6,1</w:t>
      </w:r>
      <w:r w:rsidR="00B20F2E" w:rsidRPr="002B507E">
        <w:rPr>
          <w:rFonts w:ascii="Arial" w:hAnsi="Arial" w:cs="Arial"/>
          <w:sz w:val="20"/>
          <w:szCs w:val="20"/>
        </w:rPr>
        <w:t>55</w:t>
      </w:r>
      <w:r w:rsidR="000F4E03" w:rsidRPr="002B507E">
        <w:rPr>
          <w:rFonts w:ascii="Arial" w:hAnsi="Arial" w:cs="Arial"/>
          <w:sz w:val="20"/>
          <w:szCs w:val="20"/>
        </w:rPr>
        <w:t xml:space="preserve"> funds</w:t>
      </w:r>
      <w:r w:rsidR="000F4E03" w:rsidRPr="00F06F9C">
        <w:rPr>
          <w:rFonts w:ascii="Arial" w:hAnsi="Arial" w:cs="Arial"/>
          <w:sz w:val="20"/>
          <w:szCs w:val="20"/>
        </w:rPr>
        <w:t xml:space="preserve">) </w:t>
      </w:r>
      <w:r w:rsidRPr="00F06F9C">
        <w:rPr>
          <w:rFonts w:ascii="Arial" w:hAnsi="Arial" w:cs="Arial"/>
          <w:sz w:val="20"/>
          <w:szCs w:val="20"/>
        </w:rPr>
        <w:t xml:space="preserve">time periods as of </w:t>
      </w:r>
      <w:r w:rsidR="00F06F9C" w:rsidRPr="00F06F9C">
        <w:rPr>
          <w:rFonts w:ascii="Arial" w:hAnsi="Arial" w:cs="Arial"/>
          <w:sz w:val="20"/>
          <w:szCs w:val="20"/>
        </w:rPr>
        <w:t>1</w:t>
      </w:r>
      <w:r w:rsidRPr="00F06F9C">
        <w:rPr>
          <w:rFonts w:ascii="Arial" w:hAnsi="Arial" w:cs="Arial"/>
          <w:sz w:val="20"/>
          <w:szCs w:val="20"/>
        </w:rPr>
        <w:t>.31.2</w:t>
      </w:r>
      <w:r w:rsidR="00F06F9C" w:rsidRPr="00F06F9C">
        <w:rPr>
          <w:rFonts w:ascii="Arial" w:hAnsi="Arial" w:cs="Arial"/>
          <w:sz w:val="20"/>
          <w:szCs w:val="20"/>
        </w:rPr>
        <w:t>2</w:t>
      </w:r>
      <w:r w:rsidRPr="00F06F9C">
        <w:rPr>
          <w:rFonts w:ascii="Arial" w:hAnsi="Arial" w:cs="Arial"/>
          <w:sz w:val="20"/>
          <w:szCs w:val="20"/>
        </w:rPr>
        <w:t xml:space="preserve">, per </w:t>
      </w:r>
      <w:r w:rsidR="0095563D" w:rsidRPr="00F06F9C">
        <w:rPr>
          <w:rFonts w:ascii="Arial" w:hAnsi="Arial" w:cs="Arial"/>
          <w:sz w:val="20"/>
          <w:szCs w:val="20"/>
        </w:rPr>
        <w:t>Morningstar</w:t>
      </w:r>
      <w:r w:rsidR="0095563D">
        <w:rPr>
          <w:rFonts w:ascii="Arial" w:hAnsi="Arial" w:cs="Arial"/>
          <w:sz w:val="20"/>
          <w:szCs w:val="20"/>
          <w:vertAlign w:val="superscript"/>
        </w:rPr>
        <w:t>5</w:t>
      </w:r>
      <w:r w:rsidRPr="00F06F9C">
        <w:rPr>
          <w:rFonts w:ascii="Arial" w:hAnsi="Arial" w:cs="Arial"/>
          <w:sz w:val="20"/>
          <w:szCs w:val="20"/>
        </w:rPr>
        <w:t xml:space="preserve">. The Fund’s peer-leading performance spans multiple time periods with the Fund’s A-share and I-shares both reporting the highest total net returns in the trailing 5-year period among all active real estate sector interval funds </w:t>
      </w:r>
      <w:r w:rsidR="000F4E03" w:rsidRPr="00F06F9C">
        <w:rPr>
          <w:rFonts w:ascii="Arial" w:hAnsi="Arial" w:cs="Arial"/>
          <w:sz w:val="20"/>
          <w:szCs w:val="20"/>
        </w:rPr>
        <w:t>(</w:t>
      </w:r>
      <w:r w:rsidR="00CE5A33" w:rsidRPr="00F06F9C">
        <w:rPr>
          <w:rFonts w:ascii="Arial" w:hAnsi="Arial" w:cs="Arial"/>
          <w:sz w:val="20"/>
          <w:szCs w:val="20"/>
        </w:rPr>
        <w:t xml:space="preserve">7 </w:t>
      </w:r>
      <w:r w:rsidR="000F4E03" w:rsidRPr="00F06F9C">
        <w:rPr>
          <w:rFonts w:ascii="Arial" w:hAnsi="Arial" w:cs="Arial"/>
          <w:sz w:val="20"/>
          <w:szCs w:val="20"/>
        </w:rPr>
        <w:t xml:space="preserve">funds) </w:t>
      </w:r>
      <w:r w:rsidRPr="00F06F9C">
        <w:rPr>
          <w:rFonts w:ascii="Arial" w:hAnsi="Arial" w:cs="Arial"/>
          <w:sz w:val="20"/>
          <w:szCs w:val="20"/>
        </w:rPr>
        <w:t>as of 1.31.2</w:t>
      </w:r>
      <w:r w:rsidR="0092347A" w:rsidRPr="00F06F9C">
        <w:rPr>
          <w:rFonts w:ascii="Arial" w:hAnsi="Arial" w:cs="Arial"/>
          <w:sz w:val="20"/>
          <w:szCs w:val="20"/>
        </w:rPr>
        <w:t>02</w:t>
      </w:r>
      <w:r w:rsidR="00F06F9C" w:rsidRPr="00F06F9C">
        <w:rPr>
          <w:rFonts w:ascii="Arial" w:hAnsi="Arial" w:cs="Arial"/>
          <w:sz w:val="20"/>
          <w:szCs w:val="20"/>
        </w:rPr>
        <w:t>2</w:t>
      </w:r>
      <w:r w:rsidRPr="00F06F9C">
        <w:rPr>
          <w:rFonts w:ascii="Arial" w:hAnsi="Arial" w:cs="Arial"/>
          <w:sz w:val="20"/>
          <w:szCs w:val="20"/>
        </w:rPr>
        <w:t>.</w:t>
      </w:r>
      <w:r w:rsidR="0095563D">
        <w:rPr>
          <w:rFonts w:ascii="Arial" w:hAnsi="Arial" w:cs="Arial"/>
          <w:sz w:val="20"/>
          <w:szCs w:val="20"/>
          <w:vertAlign w:val="superscript"/>
        </w:rPr>
        <w:t>6</w:t>
      </w:r>
      <w:r w:rsidR="0095563D" w:rsidRPr="00F06F9C">
        <w:rPr>
          <w:rFonts w:ascii="Arial" w:hAnsi="Arial" w:cs="Arial"/>
          <w:sz w:val="20"/>
          <w:szCs w:val="20"/>
        </w:rPr>
        <w:t xml:space="preserve">  </w:t>
      </w:r>
      <w:r w:rsidRPr="00F06F9C">
        <w:rPr>
          <w:rFonts w:ascii="Arial" w:hAnsi="Arial" w:cs="Arial"/>
          <w:sz w:val="20"/>
          <w:szCs w:val="20"/>
        </w:rPr>
        <w:t xml:space="preserve">The Fund has delivered positive total returns to its shareholders every year since inception (9+ years) and 33 of 36 quarters. </w:t>
      </w:r>
      <w:r w:rsidRPr="00F06F9C">
        <w:rPr>
          <w:rFonts w:ascii="Arial" w:hAnsi="Arial" w:cs="Arial"/>
          <w:i/>
          <w:iCs/>
          <w:sz w:val="20"/>
          <w:szCs w:val="20"/>
        </w:rPr>
        <w:t>Past performance is no guarantee of future results.</w:t>
      </w:r>
    </w:p>
    <w:p w14:paraId="2CF63C1A" w14:textId="7D6C757A" w:rsidR="00AF3E07" w:rsidRPr="007859E1" w:rsidRDefault="00AF3E07" w:rsidP="00E465C5">
      <w:pPr>
        <w:spacing w:after="0" w:line="240" w:lineRule="auto"/>
        <w:jc w:val="both"/>
        <w:rPr>
          <w:rFonts w:ascii="Arial" w:hAnsi="Arial" w:cs="Arial"/>
          <w:sz w:val="20"/>
          <w:szCs w:val="20"/>
        </w:rPr>
      </w:pPr>
    </w:p>
    <w:p w14:paraId="306FE4D6" w14:textId="0F5907F2" w:rsidR="004F0CB3" w:rsidRPr="007859E1" w:rsidRDefault="004F0CB3" w:rsidP="00F62E7B">
      <w:pPr>
        <w:spacing w:after="0" w:line="240" w:lineRule="auto"/>
        <w:jc w:val="both"/>
        <w:rPr>
          <w:rFonts w:ascii="Arial" w:hAnsi="Arial" w:cs="Arial"/>
          <w:sz w:val="16"/>
          <w:szCs w:val="16"/>
        </w:rPr>
      </w:pPr>
      <w:r w:rsidRPr="007859E1">
        <w:rPr>
          <w:rFonts w:ascii="Arial" w:hAnsi="Arial" w:cs="Arial"/>
          <w:sz w:val="16"/>
          <w:szCs w:val="16"/>
        </w:rPr>
        <w:t>*Returns would have been lower if the calculation reflected the load.</w:t>
      </w:r>
    </w:p>
    <w:p w14:paraId="61403904" w14:textId="00D0E203" w:rsidR="0097542B" w:rsidRPr="007859E1" w:rsidRDefault="0097542B" w:rsidP="00F62E7B">
      <w:pPr>
        <w:spacing w:after="0" w:line="240" w:lineRule="auto"/>
        <w:jc w:val="both"/>
        <w:rPr>
          <w:rFonts w:ascii="Arial" w:eastAsia="Cambria" w:hAnsi="Arial" w:cs="Arial"/>
          <w:sz w:val="16"/>
          <w:szCs w:val="16"/>
        </w:rPr>
      </w:pPr>
      <w:r w:rsidRPr="007859E1">
        <w:rPr>
          <w:rFonts w:ascii="Arial" w:eastAsia="Cambria" w:hAnsi="Arial" w:cs="Arial"/>
          <w:sz w:val="16"/>
          <w:szCs w:val="16"/>
          <w:vertAlign w:val="superscript"/>
        </w:rPr>
        <w:t xml:space="preserve">1 </w:t>
      </w:r>
      <w:r w:rsidR="00911053" w:rsidRPr="007859E1">
        <w:rPr>
          <w:rFonts w:ascii="Arial" w:eastAsia="Cambria" w:hAnsi="Arial" w:cs="Arial"/>
          <w:sz w:val="16"/>
          <w:szCs w:val="16"/>
        </w:rPr>
        <w:t>I</w:t>
      </w:r>
      <w:r w:rsidRPr="007859E1">
        <w:rPr>
          <w:rFonts w:ascii="Arial" w:eastAsia="Cambria" w:hAnsi="Arial" w:cs="Arial"/>
          <w:sz w:val="16"/>
          <w:szCs w:val="16"/>
        </w:rPr>
        <w:t>ncludes distribution reinvestment.</w:t>
      </w:r>
    </w:p>
    <w:p w14:paraId="687B394C" w14:textId="6A844EC1" w:rsidR="00C1646A" w:rsidRPr="007859E1" w:rsidRDefault="00C1646A" w:rsidP="00F62E7B">
      <w:pPr>
        <w:spacing w:after="0" w:line="240" w:lineRule="auto"/>
        <w:jc w:val="both"/>
        <w:rPr>
          <w:rFonts w:ascii="Arial" w:eastAsia="Cambria" w:hAnsi="Arial" w:cs="Arial"/>
          <w:sz w:val="16"/>
          <w:szCs w:val="16"/>
        </w:rPr>
      </w:pPr>
      <w:r w:rsidRPr="007859E1">
        <w:rPr>
          <w:rFonts w:ascii="Arial" w:eastAsia="Cambria" w:hAnsi="Arial" w:cs="Arial"/>
          <w:sz w:val="16"/>
          <w:szCs w:val="16"/>
          <w:vertAlign w:val="superscript"/>
        </w:rPr>
        <w:t>2</w:t>
      </w:r>
      <w:r w:rsidRPr="007859E1">
        <w:rPr>
          <w:rFonts w:ascii="Arial" w:eastAsia="Cambria" w:hAnsi="Arial" w:cs="Arial"/>
          <w:sz w:val="16"/>
          <w:szCs w:val="16"/>
        </w:rPr>
        <w:t xml:space="preserve"> Source Morningstar as of 1.31.22. </w:t>
      </w:r>
      <w:r w:rsidR="005818E3">
        <w:rPr>
          <w:rFonts w:ascii="Arial" w:eastAsia="Cambria" w:hAnsi="Arial" w:cs="Arial"/>
          <w:sz w:val="16"/>
          <w:szCs w:val="16"/>
        </w:rPr>
        <w:t xml:space="preserve">Standard deviations: </w:t>
      </w:r>
      <w:r w:rsidRPr="007859E1">
        <w:rPr>
          <w:rFonts w:ascii="Arial" w:eastAsia="Cambria" w:hAnsi="Arial" w:cs="Arial"/>
          <w:sz w:val="16"/>
          <w:szCs w:val="16"/>
        </w:rPr>
        <w:t>TIPRX, A-s</w:t>
      </w:r>
      <w:r w:rsidR="00043100" w:rsidRPr="007859E1">
        <w:rPr>
          <w:rFonts w:ascii="Arial" w:eastAsia="Cambria" w:hAnsi="Arial" w:cs="Arial"/>
          <w:sz w:val="16"/>
          <w:szCs w:val="16"/>
        </w:rPr>
        <w:t>ha</w:t>
      </w:r>
      <w:r w:rsidRPr="007859E1">
        <w:rPr>
          <w:rFonts w:ascii="Arial" w:eastAsia="Cambria" w:hAnsi="Arial" w:cs="Arial"/>
          <w:sz w:val="16"/>
          <w:szCs w:val="16"/>
        </w:rPr>
        <w:t>re, no load</w:t>
      </w:r>
      <w:r w:rsidR="005818E3">
        <w:rPr>
          <w:rFonts w:ascii="Arial" w:eastAsia="Cambria" w:hAnsi="Arial" w:cs="Arial"/>
          <w:sz w:val="16"/>
          <w:szCs w:val="16"/>
        </w:rPr>
        <w:t>,</w:t>
      </w:r>
      <w:r w:rsidR="00930E49">
        <w:rPr>
          <w:rFonts w:ascii="Arial" w:eastAsia="Cambria" w:hAnsi="Arial" w:cs="Arial"/>
          <w:sz w:val="16"/>
          <w:szCs w:val="16"/>
        </w:rPr>
        <w:t xml:space="preserve"> 2.21%</w:t>
      </w:r>
      <w:r w:rsidRPr="007859E1">
        <w:rPr>
          <w:rFonts w:ascii="Arial" w:eastAsia="Cambria" w:hAnsi="Arial" w:cs="Arial"/>
          <w:sz w:val="16"/>
          <w:szCs w:val="16"/>
        </w:rPr>
        <w:t>; stocks: S&amp;P 500</w:t>
      </w:r>
      <w:r w:rsidR="009072B8" w:rsidRPr="007859E1">
        <w:rPr>
          <w:rFonts w:ascii="Arial" w:eastAsia="Cambria" w:hAnsi="Arial" w:cs="Arial"/>
          <w:sz w:val="16"/>
          <w:szCs w:val="16"/>
        </w:rPr>
        <w:t xml:space="preserve"> Index</w:t>
      </w:r>
      <w:r w:rsidR="005818E3">
        <w:rPr>
          <w:rFonts w:ascii="Arial" w:eastAsia="Cambria" w:hAnsi="Arial" w:cs="Arial"/>
          <w:sz w:val="16"/>
          <w:szCs w:val="16"/>
        </w:rPr>
        <w:t>, 1</w:t>
      </w:r>
      <w:r w:rsidR="005818E3" w:rsidRPr="005818E3">
        <w:rPr>
          <w:rFonts w:ascii="Arial" w:eastAsia="Cambria" w:hAnsi="Arial" w:cs="Arial"/>
          <w:sz w:val="16"/>
          <w:szCs w:val="16"/>
        </w:rPr>
        <w:t>6.09</w:t>
      </w:r>
      <w:r w:rsidRPr="007859E1">
        <w:rPr>
          <w:rFonts w:ascii="Arial" w:eastAsia="Cambria" w:hAnsi="Arial" w:cs="Arial"/>
          <w:sz w:val="16"/>
          <w:szCs w:val="16"/>
        </w:rPr>
        <w:t xml:space="preserve">; bonds: </w:t>
      </w:r>
      <w:r w:rsidR="009B2E50" w:rsidRPr="007859E1">
        <w:rPr>
          <w:rFonts w:ascii="Arial" w:eastAsia="Cambria" w:hAnsi="Arial" w:cs="Arial"/>
          <w:sz w:val="16"/>
          <w:szCs w:val="16"/>
        </w:rPr>
        <w:t>Barclay’s</w:t>
      </w:r>
      <w:r w:rsidRPr="007859E1">
        <w:rPr>
          <w:rFonts w:ascii="Arial" w:eastAsia="Cambria" w:hAnsi="Arial" w:cs="Arial"/>
          <w:sz w:val="16"/>
          <w:szCs w:val="16"/>
        </w:rPr>
        <w:t xml:space="preserve"> Aggregate Bond Index.</w:t>
      </w:r>
      <w:r w:rsidR="00C80CEB">
        <w:rPr>
          <w:rFonts w:ascii="Arial" w:eastAsia="Cambria" w:hAnsi="Arial" w:cs="Arial"/>
          <w:sz w:val="16"/>
          <w:szCs w:val="16"/>
        </w:rPr>
        <w:t xml:space="preserve"> </w:t>
      </w:r>
      <w:r w:rsidR="00C80CEB" w:rsidRPr="00C80CEB">
        <w:rPr>
          <w:rFonts w:ascii="Arial" w:eastAsia="Cambria" w:hAnsi="Arial" w:cs="Arial"/>
          <w:sz w:val="16"/>
          <w:szCs w:val="16"/>
        </w:rPr>
        <w:t>4.45%</w:t>
      </w:r>
      <w:r w:rsidR="00C80CEB">
        <w:rPr>
          <w:rFonts w:ascii="Arial" w:eastAsia="Cambria" w:hAnsi="Arial" w:cs="Arial"/>
          <w:sz w:val="16"/>
          <w:szCs w:val="16"/>
        </w:rPr>
        <w:t xml:space="preserve">.  </w:t>
      </w:r>
      <w:r w:rsidRPr="007859E1">
        <w:rPr>
          <w:rFonts w:ascii="Arial" w:eastAsia="Cambria" w:hAnsi="Arial" w:cs="Arial"/>
          <w:sz w:val="16"/>
          <w:szCs w:val="16"/>
        </w:rPr>
        <w:t xml:space="preserve">  </w:t>
      </w:r>
    </w:p>
    <w:p w14:paraId="0DB06B74" w14:textId="2E39EC17" w:rsidR="0095563D" w:rsidRPr="007859E1" w:rsidRDefault="0095563D" w:rsidP="0095563D">
      <w:pPr>
        <w:spacing w:after="0" w:line="240" w:lineRule="auto"/>
        <w:jc w:val="both"/>
        <w:rPr>
          <w:rFonts w:ascii="Arial" w:eastAsia="Cambria" w:hAnsi="Arial" w:cs="Arial"/>
          <w:sz w:val="16"/>
          <w:szCs w:val="16"/>
          <w:vertAlign w:val="superscript"/>
        </w:rPr>
      </w:pPr>
      <w:r w:rsidRPr="007859E1">
        <w:rPr>
          <w:rFonts w:ascii="Arial" w:eastAsia="Cambria" w:hAnsi="Arial" w:cs="Arial"/>
          <w:sz w:val="16"/>
          <w:szCs w:val="16"/>
          <w:vertAlign w:val="superscript"/>
        </w:rPr>
        <w:t>3</w:t>
      </w:r>
      <w:r w:rsidRPr="007859E1">
        <w:rPr>
          <w:rFonts w:ascii="Arial" w:eastAsia="Cambria" w:hAnsi="Arial" w:cs="Arial"/>
          <w:sz w:val="16"/>
          <w:szCs w:val="16"/>
        </w:rPr>
        <w:t xml:space="preserve"> NCREIF, Bluerock. Past performance is not indicative of future results. Time periods include the years following post-recessionary periods from: 1978, 1990-92, 2000, and 2009-09.</w:t>
      </w:r>
    </w:p>
    <w:p w14:paraId="09B4E760" w14:textId="1962669B" w:rsidR="0097542B" w:rsidRPr="007859E1" w:rsidRDefault="0095563D" w:rsidP="00F62E7B">
      <w:pPr>
        <w:spacing w:after="0" w:line="240" w:lineRule="auto"/>
        <w:jc w:val="both"/>
        <w:rPr>
          <w:rFonts w:ascii="Arial" w:eastAsia="Cambria" w:hAnsi="Arial" w:cs="Arial"/>
          <w:sz w:val="16"/>
          <w:szCs w:val="16"/>
        </w:rPr>
      </w:pPr>
      <w:r w:rsidRPr="007859E1">
        <w:rPr>
          <w:rFonts w:ascii="Arial" w:eastAsia="Cambria" w:hAnsi="Arial" w:cs="Arial"/>
          <w:sz w:val="16"/>
          <w:szCs w:val="16"/>
          <w:vertAlign w:val="superscript"/>
        </w:rPr>
        <w:t>4</w:t>
      </w:r>
      <w:r w:rsidRPr="007859E1">
        <w:rPr>
          <w:rFonts w:ascii="Arial" w:hAnsi="Arial" w:cs="Arial"/>
        </w:rPr>
        <w:t xml:space="preserve"> </w:t>
      </w:r>
      <w:r w:rsidR="0097542B" w:rsidRPr="007859E1">
        <w:rPr>
          <w:rFonts w:ascii="Arial" w:eastAsia="Cambria" w:hAnsi="Arial" w:cs="Arial"/>
          <w:sz w:val="16"/>
          <w:szCs w:val="16"/>
        </w:rPr>
        <w:t xml:space="preserve">The Fund’s distribution policy is to make quarterly distributions to shareholders. The level of quarterly distributions (including any return of capital) is not </w:t>
      </w:r>
      <w:proofErr w:type="gramStart"/>
      <w:r w:rsidR="0097542B" w:rsidRPr="007859E1">
        <w:rPr>
          <w:rFonts w:ascii="Arial" w:eastAsia="Cambria" w:hAnsi="Arial" w:cs="Arial"/>
          <w:sz w:val="16"/>
          <w:szCs w:val="16"/>
        </w:rPr>
        <w:t>fixed</w:t>
      </w:r>
      <w:proofErr w:type="gramEnd"/>
      <w:r w:rsidR="0097542B" w:rsidRPr="007859E1">
        <w:rPr>
          <w:rFonts w:ascii="Arial" w:eastAsia="Cambria" w:hAnsi="Arial" w:cs="Arial"/>
          <w:sz w:val="16"/>
          <w:szCs w:val="16"/>
        </w:rPr>
        <w:t xml:space="preserve"> and this distribution policy is subject to change. Shareholders should not assume that the source of a distribution from the </w:t>
      </w:r>
      <w:r w:rsidR="0097542B" w:rsidRPr="007859E1">
        <w:rPr>
          <w:rFonts w:ascii="Arial" w:eastAsia="Cambria" w:hAnsi="Arial" w:cs="Arial"/>
          <w:sz w:val="16"/>
          <w:szCs w:val="16"/>
        </w:rPr>
        <w:lastRenderedPageBreak/>
        <w:t xml:space="preserve">Fund is net profit. All or a portion of the distributions consist of a return of capital based on the character of the distributions received from the underlying holdings, primarily Real Estate Investment Trusts. The final determination of the source and tax characteristics of all distributions will be made after the end of each year. Shareholders should note that return of capital will reduce the tax basis of their shares and potentially increase the taxable gain, if any, upon disposition of their shares. There is no assurance that the Company will continue to declare distributions or that they will continue at these rates.  There can be no assurance that any investment will be effective in achieving the Fund’s investment objectives, delivering positive </w:t>
      </w:r>
      <w:proofErr w:type="gramStart"/>
      <w:r w:rsidR="0097542B" w:rsidRPr="007859E1">
        <w:rPr>
          <w:rFonts w:ascii="Arial" w:eastAsia="Cambria" w:hAnsi="Arial" w:cs="Arial"/>
          <w:sz w:val="16"/>
          <w:szCs w:val="16"/>
        </w:rPr>
        <w:t>returns</w:t>
      </w:r>
      <w:proofErr w:type="gramEnd"/>
      <w:r w:rsidR="0097542B" w:rsidRPr="007859E1">
        <w:rPr>
          <w:rFonts w:ascii="Arial" w:eastAsia="Cambria" w:hAnsi="Arial" w:cs="Arial"/>
          <w:sz w:val="16"/>
          <w:szCs w:val="16"/>
        </w:rPr>
        <w:t xml:space="preserve"> or avoiding losses.</w:t>
      </w:r>
    </w:p>
    <w:p w14:paraId="64922BD0" w14:textId="79B6E289" w:rsidR="009B2E50" w:rsidRPr="007859E1" w:rsidRDefault="0095563D" w:rsidP="00F62E7B">
      <w:pPr>
        <w:spacing w:after="0" w:line="240" w:lineRule="auto"/>
        <w:jc w:val="both"/>
        <w:rPr>
          <w:rFonts w:ascii="Arial" w:eastAsia="Cambria" w:hAnsi="Arial" w:cs="Arial"/>
          <w:sz w:val="16"/>
          <w:szCs w:val="16"/>
        </w:rPr>
      </w:pPr>
      <w:r w:rsidRPr="007859E1">
        <w:rPr>
          <w:rFonts w:ascii="Arial" w:eastAsia="Cambria" w:hAnsi="Arial" w:cs="Arial"/>
          <w:sz w:val="16"/>
          <w:szCs w:val="16"/>
          <w:vertAlign w:val="superscript"/>
        </w:rPr>
        <w:t xml:space="preserve">5 </w:t>
      </w:r>
      <w:r w:rsidR="000B7FB4" w:rsidRPr="007859E1">
        <w:rPr>
          <w:rFonts w:ascii="Arial" w:eastAsia="Cambria" w:hAnsi="Arial" w:cs="Arial"/>
          <w:sz w:val="16"/>
          <w:szCs w:val="16"/>
        </w:rPr>
        <w:t xml:space="preserve">Source: Morningstar Direct based on daily data as of </w:t>
      </w:r>
      <w:r w:rsidR="009B2E50" w:rsidRPr="007859E1">
        <w:rPr>
          <w:rFonts w:ascii="Arial" w:eastAsia="Cambria" w:hAnsi="Arial" w:cs="Arial"/>
          <w:sz w:val="16"/>
          <w:szCs w:val="16"/>
        </w:rPr>
        <w:t>1</w:t>
      </w:r>
      <w:r w:rsidR="000B7FB4" w:rsidRPr="007859E1">
        <w:rPr>
          <w:rFonts w:ascii="Arial" w:eastAsia="Cambria" w:hAnsi="Arial" w:cs="Arial"/>
          <w:sz w:val="16"/>
          <w:szCs w:val="16"/>
        </w:rPr>
        <w:t>.31.202</w:t>
      </w:r>
      <w:r w:rsidR="009B2E50" w:rsidRPr="007859E1">
        <w:rPr>
          <w:rFonts w:ascii="Arial" w:eastAsia="Cambria" w:hAnsi="Arial" w:cs="Arial"/>
          <w:sz w:val="16"/>
          <w:szCs w:val="16"/>
        </w:rPr>
        <w:t>2</w:t>
      </w:r>
      <w:r w:rsidR="000B7FB4" w:rsidRPr="007859E1">
        <w:rPr>
          <w:rFonts w:ascii="Arial" w:eastAsia="Cambria" w:hAnsi="Arial" w:cs="Arial"/>
          <w:sz w:val="16"/>
          <w:szCs w:val="16"/>
        </w:rPr>
        <w:t xml:space="preserve">, among of all U.S. open-end, closed-end, and exchange traded funds </w:t>
      </w:r>
      <w:r w:rsidR="00F62049" w:rsidRPr="007859E1">
        <w:rPr>
          <w:rFonts w:ascii="Arial" w:eastAsia="Cambria" w:hAnsi="Arial" w:cs="Arial"/>
          <w:sz w:val="16"/>
          <w:szCs w:val="16"/>
        </w:rPr>
        <w:t>(</w:t>
      </w:r>
      <w:r w:rsidR="000B7FB4" w:rsidRPr="007859E1">
        <w:rPr>
          <w:rFonts w:ascii="Arial" w:eastAsia="Cambria" w:hAnsi="Arial" w:cs="Arial"/>
          <w:sz w:val="16"/>
          <w:szCs w:val="16"/>
        </w:rPr>
        <w:t>7,8</w:t>
      </w:r>
      <w:r w:rsidR="009B2E50" w:rsidRPr="007859E1">
        <w:rPr>
          <w:rFonts w:ascii="Arial" w:eastAsia="Cambria" w:hAnsi="Arial" w:cs="Arial"/>
          <w:sz w:val="16"/>
          <w:szCs w:val="16"/>
        </w:rPr>
        <w:t>64</w:t>
      </w:r>
      <w:r w:rsidR="000B7FB4" w:rsidRPr="007859E1">
        <w:rPr>
          <w:rFonts w:ascii="Arial" w:eastAsia="Cambria" w:hAnsi="Arial" w:cs="Arial"/>
          <w:sz w:val="16"/>
          <w:szCs w:val="16"/>
        </w:rPr>
        <w:t xml:space="preserve"> funds in the trailing 5-year period, and 6,1</w:t>
      </w:r>
      <w:r w:rsidR="009B2E50" w:rsidRPr="007859E1">
        <w:rPr>
          <w:rFonts w:ascii="Arial" w:eastAsia="Cambria" w:hAnsi="Arial" w:cs="Arial"/>
          <w:sz w:val="16"/>
          <w:szCs w:val="16"/>
        </w:rPr>
        <w:t>55</w:t>
      </w:r>
      <w:r w:rsidR="000B7FB4" w:rsidRPr="007859E1">
        <w:rPr>
          <w:rFonts w:ascii="Arial" w:eastAsia="Cambria" w:hAnsi="Arial" w:cs="Arial"/>
          <w:sz w:val="16"/>
          <w:szCs w:val="16"/>
        </w:rPr>
        <w:t xml:space="preserve"> funds since inception) TIPRX generated the highest annualized Sharpe Ratio and annualized </w:t>
      </w:r>
      <w:proofErr w:type="spellStart"/>
      <w:r w:rsidR="000B7FB4" w:rsidRPr="007859E1">
        <w:rPr>
          <w:rFonts w:ascii="Arial" w:eastAsia="Cambria" w:hAnsi="Arial" w:cs="Arial"/>
          <w:sz w:val="16"/>
          <w:szCs w:val="16"/>
        </w:rPr>
        <w:t>Sortino</w:t>
      </w:r>
      <w:proofErr w:type="spellEnd"/>
      <w:r w:rsidR="000B7FB4" w:rsidRPr="007859E1">
        <w:rPr>
          <w:rFonts w:ascii="Arial" w:eastAsia="Cambria" w:hAnsi="Arial" w:cs="Arial"/>
          <w:sz w:val="16"/>
          <w:szCs w:val="16"/>
        </w:rPr>
        <w:t xml:space="preserve"> Ratio; compiled by Bluerock Fund Advisor, LLC. TIPRX, no load. Sharpe Ratio, and </w:t>
      </w:r>
      <w:proofErr w:type="spellStart"/>
      <w:r w:rsidR="000B7FB4" w:rsidRPr="007859E1">
        <w:rPr>
          <w:rFonts w:ascii="Arial" w:eastAsia="Cambria" w:hAnsi="Arial" w:cs="Arial"/>
          <w:sz w:val="16"/>
          <w:szCs w:val="16"/>
        </w:rPr>
        <w:t>Sortino</w:t>
      </w:r>
      <w:proofErr w:type="spellEnd"/>
      <w:r w:rsidR="000B7FB4" w:rsidRPr="007859E1">
        <w:rPr>
          <w:rFonts w:ascii="Arial" w:eastAsia="Cambria" w:hAnsi="Arial" w:cs="Arial"/>
          <w:sz w:val="16"/>
          <w:szCs w:val="16"/>
        </w:rPr>
        <w:t xml:space="preserve"> Ratio are only two forms of performance measure. The Sharpe Ratio and </w:t>
      </w:r>
      <w:proofErr w:type="spellStart"/>
      <w:r w:rsidR="000B7FB4" w:rsidRPr="007859E1">
        <w:rPr>
          <w:rFonts w:ascii="Arial" w:eastAsia="Cambria" w:hAnsi="Arial" w:cs="Arial"/>
          <w:sz w:val="16"/>
          <w:szCs w:val="16"/>
        </w:rPr>
        <w:t>Sortino</w:t>
      </w:r>
      <w:proofErr w:type="spellEnd"/>
      <w:r w:rsidR="000B7FB4" w:rsidRPr="007859E1">
        <w:rPr>
          <w:rFonts w:ascii="Arial" w:eastAsia="Cambria" w:hAnsi="Arial" w:cs="Arial"/>
          <w:sz w:val="16"/>
          <w:szCs w:val="16"/>
        </w:rPr>
        <w:t xml:space="preserve"> Ratio would have been lower if the calculation reflected the load.  The funds considered in the analysis have significant differences, including various objectives, strategies, liquidity, and fees (see definitions below). </w:t>
      </w:r>
    </w:p>
    <w:p w14:paraId="4BC74C78" w14:textId="20214A24" w:rsidR="009B2E50" w:rsidRPr="007859E1" w:rsidRDefault="0095563D" w:rsidP="00F62E7B">
      <w:pPr>
        <w:spacing w:after="0" w:line="240" w:lineRule="auto"/>
        <w:jc w:val="both"/>
        <w:rPr>
          <w:rFonts w:ascii="Arial" w:eastAsia="Cambria" w:hAnsi="Arial" w:cs="Arial"/>
          <w:sz w:val="16"/>
          <w:szCs w:val="16"/>
        </w:rPr>
      </w:pPr>
      <w:r w:rsidRPr="007859E1">
        <w:rPr>
          <w:rFonts w:ascii="Arial" w:eastAsia="Cambria" w:hAnsi="Arial" w:cs="Arial"/>
          <w:sz w:val="16"/>
          <w:szCs w:val="16"/>
          <w:vertAlign w:val="superscript"/>
        </w:rPr>
        <w:t>6</w:t>
      </w:r>
      <w:r w:rsidRPr="007859E1">
        <w:rPr>
          <w:rFonts w:ascii="Arial" w:eastAsia="Cambria" w:hAnsi="Arial" w:cs="Arial"/>
          <w:sz w:val="16"/>
          <w:szCs w:val="16"/>
        </w:rPr>
        <w:t xml:space="preserve"> </w:t>
      </w:r>
      <w:r w:rsidR="009B2E50" w:rsidRPr="007859E1">
        <w:rPr>
          <w:rFonts w:ascii="Arial" w:eastAsia="Cambria" w:hAnsi="Arial" w:cs="Arial"/>
          <w:sz w:val="16"/>
          <w:szCs w:val="16"/>
        </w:rPr>
        <w:t xml:space="preserve">Source: Morningstar Direct, trailing 3 and 5 years through 1.31.2022, all real estate interval funds as identified by intervalfundtracker.com.  The 3-year comparison includes 10 </w:t>
      </w:r>
      <w:proofErr w:type="gramStart"/>
      <w:r w:rsidR="009B2E50" w:rsidRPr="007859E1">
        <w:rPr>
          <w:rFonts w:ascii="Arial" w:eastAsia="Cambria" w:hAnsi="Arial" w:cs="Arial"/>
          <w:sz w:val="16"/>
          <w:szCs w:val="16"/>
        </w:rPr>
        <w:t>funds</w:t>
      </w:r>
      <w:proofErr w:type="gramEnd"/>
      <w:r w:rsidR="009B2E50" w:rsidRPr="007859E1">
        <w:rPr>
          <w:rFonts w:ascii="Arial" w:eastAsia="Cambria" w:hAnsi="Arial" w:cs="Arial"/>
          <w:sz w:val="16"/>
          <w:szCs w:val="16"/>
        </w:rPr>
        <w:t xml:space="preserve"> and the 5-year comparison includes 7 funds. </w:t>
      </w:r>
    </w:p>
    <w:p w14:paraId="01D08648" w14:textId="775D27A8" w:rsidR="00A30095" w:rsidRPr="007859E1" w:rsidRDefault="000B7FB4" w:rsidP="00F62E7B">
      <w:pPr>
        <w:spacing w:after="0" w:line="240" w:lineRule="auto"/>
        <w:jc w:val="both"/>
        <w:rPr>
          <w:rFonts w:ascii="Arial" w:eastAsia="Cambria" w:hAnsi="Arial" w:cs="Arial"/>
          <w:b/>
          <w:bCs/>
          <w:sz w:val="16"/>
          <w:szCs w:val="16"/>
        </w:rPr>
      </w:pPr>
      <w:r w:rsidRPr="007859E1">
        <w:rPr>
          <w:rFonts w:ascii="Arial" w:eastAsia="Cambria" w:hAnsi="Arial" w:cs="Arial"/>
          <w:b/>
          <w:bCs/>
          <w:sz w:val="16"/>
          <w:szCs w:val="16"/>
        </w:rPr>
        <w:t>Past performance does not guarantee future results.</w:t>
      </w:r>
    </w:p>
    <w:p w14:paraId="3CFFEEA2" w14:textId="77777777" w:rsidR="00D0161D" w:rsidRPr="007859E1" w:rsidRDefault="00D0161D" w:rsidP="00F62E7B">
      <w:pPr>
        <w:spacing w:after="0" w:line="240" w:lineRule="auto"/>
        <w:jc w:val="both"/>
        <w:rPr>
          <w:rFonts w:ascii="Arial" w:eastAsia="Cambria" w:hAnsi="Arial" w:cs="Arial"/>
          <w:sz w:val="16"/>
          <w:szCs w:val="16"/>
        </w:rPr>
      </w:pPr>
    </w:p>
    <w:p w14:paraId="36D92756" w14:textId="3AFABFC8" w:rsidR="008C5612" w:rsidRPr="007859E1" w:rsidRDefault="008C5612" w:rsidP="008C5612">
      <w:pPr>
        <w:jc w:val="both"/>
        <w:rPr>
          <w:rFonts w:ascii="Arial" w:hAnsi="Arial" w:cs="Arial"/>
          <w:b/>
          <w:sz w:val="20"/>
          <w:szCs w:val="20"/>
        </w:rPr>
      </w:pPr>
      <w:r w:rsidRPr="007859E1">
        <w:rPr>
          <w:rFonts w:ascii="Arial" w:hAnsi="Arial" w:cs="Arial"/>
          <w:b/>
          <w:sz w:val="20"/>
          <w:szCs w:val="20"/>
        </w:rPr>
        <w:t xml:space="preserve">TI+ A </w:t>
      </w:r>
      <w:r w:rsidR="00282BB3" w:rsidRPr="007859E1">
        <w:rPr>
          <w:rFonts w:ascii="Arial" w:hAnsi="Arial" w:cs="Arial"/>
          <w:b/>
          <w:sz w:val="20"/>
          <w:szCs w:val="20"/>
        </w:rPr>
        <w:t>and I-</w:t>
      </w:r>
      <w:r w:rsidRPr="007859E1">
        <w:rPr>
          <w:rFonts w:ascii="Arial" w:hAnsi="Arial" w:cs="Arial"/>
          <w:b/>
          <w:sz w:val="20"/>
          <w:szCs w:val="20"/>
        </w:rPr>
        <w:t xml:space="preserve">Share Fund Net Performance </w:t>
      </w:r>
    </w:p>
    <w:tbl>
      <w:tblPr>
        <w:tblpPr w:leftFromText="180" w:rightFromText="180" w:vertAnchor="text" w:tblpX="-195" w:tblpY="31"/>
        <w:tblW w:w="10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771"/>
        <w:gridCol w:w="2279"/>
        <w:gridCol w:w="1260"/>
        <w:gridCol w:w="1350"/>
        <w:gridCol w:w="1260"/>
        <w:gridCol w:w="2674"/>
      </w:tblGrid>
      <w:tr w:rsidR="00316EE2" w:rsidRPr="007859E1" w14:paraId="1CF979EF" w14:textId="77777777" w:rsidTr="00C05C34">
        <w:trPr>
          <w:trHeight w:val="510"/>
        </w:trPr>
        <w:tc>
          <w:tcPr>
            <w:tcW w:w="1771" w:type="dxa"/>
            <w:vMerge w:val="restart"/>
            <w:tcBorders>
              <w:right w:val="single" w:sz="12" w:space="0" w:color="auto"/>
            </w:tcBorders>
            <w:shd w:val="clear" w:color="auto" w:fill="FFFFFF"/>
            <w:vAlign w:val="center"/>
          </w:tcPr>
          <w:p w14:paraId="1CD9C76A" w14:textId="77777777" w:rsidR="00316EE2" w:rsidRPr="007859E1" w:rsidRDefault="00316EE2" w:rsidP="00316EE2">
            <w:pPr>
              <w:spacing w:line="264" w:lineRule="auto"/>
              <w:rPr>
                <w:rFonts w:ascii="Arial" w:eastAsia="Times New Roman" w:hAnsi="Arial" w:cs="Arial"/>
                <w:spacing w:val="-1"/>
                <w:sz w:val="20"/>
                <w:szCs w:val="20"/>
              </w:rPr>
            </w:pPr>
          </w:p>
        </w:tc>
        <w:tc>
          <w:tcPr>
            <w:tcW w:w="2279" w:type="dxa"/>
            <w:tcBorders>
              <w:right w:val="single" w:sz="12" w:space="0" w:color="auto"/>
            </w:tcBorders>
          </w:tcPr>
          <w:p w14:paraId="50DD306D" w14:textId="525650B1" w:rsidR="00316EE2" w:rsidRPr="007859E1" w:rsidRDefault="00316EE2" w:rsidP="00316EE2">
            <w:pPr>
              <w:jc w:val="center"/>
              <w:rPr>
                <w:rFonts w:ascii="Arial" w:eastAsia="Times New Roman" w:hAnsi="Arial" w:cs="Arial"/>
                <w:b/>
                <w:bCs/>
                <w:spacing w:val="-1"/>
                <w:sz w:val="20"/>
                <w:szCs w:val="20"/>
              </w:rPr>
            </w:pPr>
            <w:r w:rsidRPr="007859E1">
              <w:rPr>
                <w:rFonts w:ascii="Arial" w:eastAsia="Times New Roman" w:hAnsi="Arial" w:cs="Arial"/>
                <w:b/>
                <w:bCs/>
                <w:spacing w:val="-1"/>
                <w:sz w:val="20"/>
                <w:szCs w:val="20"/>
              </w:rPr>
              <w:t>Performance through 1.31.22</w:t>
            </w:r>
          </w:p>
        </w:tc>
        <w:tc>
          <w:tcPr>
            <w:tcW w:w="65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9C3F0CB" w14:textId="27C8792B" w:rsidR="00316EE2" w:rsidRPr="007859E1" w:rsidRDefault="00316EE2" w:rsidP="00316EE2">
            <w:pPr>
              <w:jc w:val="center"/>
              <w:rPr>
                <w:rFonts w:ascii="Arial" w:eastAsia="Times New Roman" w:hAnsi="Arial" w:cs="Arial"/>
                <w:b/>
                <w:bCs/>
                <w:spacing w:val="-1"/>
                <w:sz w:val="20"/>
                <w:szCs w:val="20"/>
              </w:rPr>
            </w:pPr>
            <w:r w:rsidRPr="007859E1">
              <w:rPr>
                <w:rFonts w:ascii="Arial" w:eastAsia="Times New Roman" w:hAnsi="Arial" w:cs="Arial"/>
                <w:b/>
                <w:bCs/>
                <w:spacing w:val="-1"/>
                <w:sz w:val="20"/>
                <w:szCs w:val="20"/>
              </w:rPr>
              <w:t>Performance through 12.31.2021</w:t>
            </w:r>
          </w:p>
        </w:tc>
      </w:tr>
      <w:tr w:rsidR="00316EE2" w:rsidRPr="007859E1" w14:paraId="315DCCB9" w14:textId="77777777" w:rsidTr="00316EE2">
        <w:trPr>
          <w:trHeight w:val="354"/>
        </w:trPr>
        <w:tc>
          <w:tcPr>
            <w:tcW w:w="1771" w:type="dxa"/>
            <w:vMerge/>
            <w:shd w:val="clear" w:color="auto" w:fill="FFFFFF"/>
            <w:vAlign w:val="center"/>
          </w:tcPr>
          <w:p w14:paraId="29C785AA" w14:textId="77777777" w:rsidR="00316EE2" w:rsidRPr="007859E1" w:rsidRDefault="00316EE2" w:rsidP="00316EE2">
            <w:pPr>
              <w:spacing w:line="264" w:lineRule="auto"/>
              <w:rPr>
                <w:rFonts w:ascii="Arial" w:eastAsia="Times New Roman" w:hAnsi="Arial" w:cs="Arial"/>
                <w:spacing w:val="-1"/>
                <w:sz w:val="20"/>
                <w:szCs w:val="20"/>
              </w:rPr>
            </w:pPr>
          </w:p>
        </w:tc>
        <w:tc>
          <w:tcPr>
            <w:tcW w:w="2279" w:type="dxa"/>
          </w:tcPr>
          <w:p w14:paraId="6509FF08" w14:textId="6D3BBBA1" w:rsidR="00316EE2" w:rsidRPr="007859E1" w:rsidRDefault="00316EE2" w:rsidP="00316EE2">
            <w:pPr>
              <w:spacing w:line="264"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One Year</w:t>
            </w:r>
          </w:p>
        </w:tc>
        <w:tc>
          <w:tcPr>
            <w:tcW w:w="1260" w:type="dxa"/>
            <w:tcBorders>
              <w:top w:val="single" w:sz="12" w:space="0" w:color="auto"/>
            </w:tcBorders>
            <w:shd w:val="clear" w:color="auto" w:fill="auto"/>
          </w:tcPr>
          <w:p w14:paraId="665F9B4E" w14:textId="5097A7B7" w:rsidR="00316EE2" w:rsidRPr="007859E1" w:rsidRDefault="00316EE2" w:rsidP="00316EE2">
            <w:pPr>
              <w:spacing w:line="264"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One Year</w:t>
            </w:r>
          </w:p>
        </w:tc>
        <w:tc>
          <w:tcPr>
            <w:tcW w:w="1350" w:type="dxa"/>
            <w:tcBorders>
              <w:top w:val="single" w:sz="12" w:space="0" w:color="auto"/>
            </w:tcBorders>
            <w:shd w:val="clear" w:color="auto" w:fill="auto"/>
          </w:tcPr>
          <w:p w14:paraId="7CD5E349" w14:textId="77777777" w:rsidR="00316EE2" w:rsidRPr="007859E1" w:rsidRDefault="00316EE2" w:rsidP="00316EE2">
            <w:pPr>
              <w:spacing w:line="264"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Three Year</w:t>
            </w:r>
          </w:p>
        </w:tc>
        <w:tc>
          <w:tcPr>
            <w:tcW w:w="1260" w:type="dxa"/>
            <w:tcBorders>
              <w:top w:val="single" w:sz="12" w:space="0" w:color="auto"/>
            </w:tcBorders>
            <w:shd w:val="clear" w:color="auto" w:fill="auto"/>
          </w:tcPr>
          <w:p w14:paraId="347D7390" w14:textId="77777777" w:rsidR="00316EE2" w:rsidRPr="007859E1" w:rsidRDefault="00316EE2" w:rsidP="00316EE2">
            <w:pPr>
              <w:spacing w:line="264"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Five Year</w:t>
            </w:r>
          </w:p>
        </w:tc>
        <w:tc>
          <w:tcPr>
            <w:tcW w:w="2674" w:type="dxa"/>
            <w:tcBorders>
              <w:top w:val="single" w:sz="12" w:space="0" w:color="auto"/>
            </w:tcBorders>
            <w:shd w:val="clear" w:color="auto" w:fill="auto"/>
          </w:tcPr>
          <w:p w14:paraId="4BC72185" w14:textId="28D833E8" w:rsidR="00316EE2" w:rsidRPr="007859E1" w:rsidRDefault="00316EE2" w:rsidP="00316EE2">
            <w:pPr>
              <w:spacing w:line="264"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 xml:space="preserve">Annualized Since </w:t>
            </w:r>
            <w:r w:rsidR="0095563D" w:rsidRPr="007859E1">
              <w:rPr>
                <w:rFonts w:ascii="Arial" w:eastAsia="Times New Roman" w:hAnsi="Arial" w:cs="Arial"/>
                <w:spacing w:val="-1"/>
                <w:sz w:val="20"/>
                <w:szCs w:val="20"/>
              </w:rPr>
              <w:t>Inception</w:t>
            </w:r>
            <w:r w:rsidR="0095563D" w:rsidRPr="007859E1">
              <w:rPr>
                <w:rFonts w:ascii="Arial" w:eastAsia="Times New Roman" w:hAnsi="Arial" w:cs="Arial"/>
                <w:spacing w:val="-1"/>
                <w:sz w:val="20"/>
                <w:szCs w:val="20"/>
                <w:vertAlign w:val="superscript"/>
              </w:rPr>
              <w:t>7</w:t>
            </w:r>
          </w:p>
        </w:tc>
      </w:tr>
      <w:tr w:rsidR="00316EE2" w:rsidRPr="007859E1" w14:paraId="11BC3929" w14:textId="77777777" w:rsidTr="00316EE2">
        <w:trPr>
          <w:trHeight w:val="220"/>
        </w:trPr>
        <w:tc>
          <w:tcPr>
            <w:tcW w:w="1771" w:type="dxa"/>
            <w:vAlign w:val="center"/>
          </w:tcPr>
          <w:p w14:paraId="7683B423" w14:textId="77777777" w:rsidR="00316EE2" w:rsidRPr="007859E1" w:rsidRDefault="00316EE2" w:rsidP="00316EE2">
            <w:pPr>
              <w:spacing w:line="264" w:lineRule="auto"/>
              <w:rPr>
                <w:rFonts w:ascii="Arial" w:eastAsia="Times New Roman" w:hAnsi="Arial" w:cs="Arial"/>
                <w:spacing w:val="-1"/>
                <w:sz w:val="20"/>
                <w:szCs w:val="20"/>
              </w:rPr>
            </w:pPr>
            <w:r w:rsidRPr="007859E1">
              <w:rPr>
                <w:rFonts w:ascii="Arial" w:eastAsia="Times New Roman" w:hAnsi="Arial" w:cs="Arial"/>
                <w:spacing w:val="-1"/>
                <w:sz w:val="20"/>
                <w:szCs w:val="20"/>
              </w:rPr>
              <w:t>TI+ Fund Class A</w:t>
            </w:r>
          </w:p>
        </w:tc>
        <w:tc>
          <w:tcPr>
            <w:tcW w:w="2279" w:type="dxa"/>
          </w:tcPr>
          <w:p w14:paraId="7C50423F" w14:textId="4283986B" w:rsidR="00316EE2" w:rsidRPr="007859E1" w:rsidRDefault="00316EE2" w:rsidP="00316EE2">
            <w:pPr>
              <w:spacing w:line="264"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24.1</w:t>
            </w:r>
            <w:r w:rsidR="00812706" w:rsidRPr="007859E1">
              <w:rPr>
                <w:rFonts w:ascii="Arial" w:eastAsia="Times New Roman" w:hAnsi="Arial" w:cs="Arial"/>
                <w:spacing w:val="-1"/>
                <w:sz w:val="20"/>
                <w:szCs w:val="20"/>
              </w:rPr>
              <w:t>2</w:t>
            </w:r>
            <w:r w:rsidRPr="007859E1">
              <w:rPr>
                <w:rFonts w:ascii="Arial" w:eastAsia="Times New Roman" w:hAnsi="Arial" w:cs="Arial"/>
                <w:spacing w:val="-1"/>
                <w:sz w:val="20"/>
                <w:szCs w:val="20"/>
              </w:rPr>
              <w:t>%</w:t>
            </w:r>
          </w:p>
        </w:tc>
        <w:tc>
          <w:tcPr>
            <w:tcW w:w="1260" w:type="dxa"/>
            <w:shd w:val="clear" w:color="auto" w:fill="auto"/>
            <w:vAlign w:val="center"/>
          </w:tcPr>
          <w:p w14:paraId="35A2A83D" w14:textId="4B89B0CB" w:rsidR="00316EE2" w:rsidRPr="007859E1" w:rsidRDefault="00316EE2" w:rsidP="00316EE2">
            <w:pPr>
              <w:spacing w:line="264"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21.61%</w:t>
            </w:r>
          </w:p>
        </w:tc>
        <w:tc>
          <w:tcPr>
            <w:tcW w:w="1350" w:type="dxa"/>
            <w:shd w:val="clear" w:color="auto" w:fill="auto"/>
            <w:vAlign w:val="center"/>
          </w:tcPr>
          <w:p w14:paraId="3C1CFA03" w14:textId="77777777" w:rsidR="00316EE2" w:rsidRPr="007859E1" w:rsidRDefault="00316EE2" w:rsidP="00316EE2">
            <w:pPr>
              <w:spacing w:line="264"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9.80%</w:t>
            </w:r>
          </w:p>
        </w:tc>
        <w:tc>
          <w:tcPr>
            <w:tcW w:w="1260" w:type="dxa"/>
            <w:shd w:val="clear" w:color="auto" w:fill="auto"/>
            <w:vAlign w:val="center"/>
          </w:tcPr>
          <w:p w14:paraId="3EB0145D" w14:textId="77777777" w:rsidR="00316EE2" w:rsidRPr="007859E1" w:rsidRDefault="00316EE2" w:rsidP="00316EE2">
            <w:pPr>
              <w:spacing w:line="264"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8.65%</w:t>
            </w:r>
          </w:p>
        </w:tc>
        <w:tc>
          <w:tcPr>
            <w:tcW w:w="2674" w:type="dxa"/>
            <w:shd w:val="clear" w:color="auto" w:fill="auto"/>
            <w:vAlign w:val="center"/>
          </w:tcPr>
          <w:p w14:paraId="040A145F" w14:textId="77777777" w:rsidR="00316EE2" w:rsidRPr="007859E1" w:rsidRDefault="00316EE2" w:rsidP="00316EE2">
            <w:pPr>
              <w:spacing w:line="264"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8.59%</w:t>
            </w:r>
          </w:p>
        </w:tc>
      </w:tr>
      <w:tr w:rsidR="00316EE2" w:rsidRPr="007859E1" w14:paraId="23131705" w14:textId="77777777" w:rsidTr="00F61045">
        <w:trPr>
          <w:trHeight w:val="900"/>
        </w:trPr>
        <w:tc>
          <w:tcPr>
            <w:tcW w:w="1771" w:type="dxa"/>
            <w:vAlign w:val="center"/>
          </w:tcPr>
          <w:p w14:paraId="7CE999A8" w14:textId="494A2728" w:rsidR="00316EE2" w:rsidRPr="007859E1" w:rsidRDefault="00316EE2" w:rsidP="00316EE2">
            <w:pPr>
              <w:spacing w:line="264" w:lineRule="auto"/>
              <w:rPr>
                <w:rFonts w:ascii="Arial" w:eastAsia="Times New Roman" w:hAnsi="Arial" w:cs="Arial"/>
                <w:spacing w:val="-1"/>
                <w:sz w:val="20"/>
                <w:szCs w:val="20"/>
              </w:rPr>
            </w:pPr>
            <w:r w:rsidRPr="007859E1">
              <w:rPr>
                <w:rFonts w:ascii="Arial" w:eastAsia="Times New Roman" w:hAnsi="Arial" w:cs="Arial"/>
                <w:spacing w:val="-1"/>
                <w:sz w:val="20"/>
                <w:szCs w:val="20"/>
              </w:rPr>
              <w:t xml:space="preserve">TI+ Class A with Max Sales </w:t>
            </w:r>
            <w:r w:rsidR="0095563D" w:rsidRPr="007859E1">
              <w:rPr>
                <w:rFonts w:ascii="Arial" w:eastAsia="Times New Roman" w:hAnsi="Arial" w:cs="Arial"/>
                <w:spacing w:val="-1"/>
                <w:sz w:val="20"/>
                <w:szCs w:val="20"/>
              </w:rPr>
              <w:t>Charge</w:t>
            </w:r>
            <w:r w:rsidR="0095563D" w:rsidRPr="007859E1">
              <w:rPr>
                <w:rFonts w:ascii="Arial" w:eastAsia="Times New Roman" w:hAnsi="Arial" w:cs="Arial"/>
                <w:spacing w:val="-1"/>
                <w:sz w:val="20"/>
                <w:szCs w:val="20"/>
                <w:vertAlign w:val="superscript"/>
              </w:rPr>
              <w:t>8</w:t>
            </w:r>
          </w:p>
        </w:tc>
        <w:tc>
          <w:tcPr>
            <w:tcW w:w="2279" w:type="dxa"/>
          </w:tcPr>
          <w:p w14:paraId="5DC4453E" w14:textId="4D7B2559" w:rsidR="00316EE2" w:rsidRPr="007859E1" w:rsidRDefault="00316EE2" w:rsidP="00316EE2">
            <w:pPr>
              <w:spacing w:line="264"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16.9</w:t>
            </w:r>
            <w:r w:rsidR="00812706" w:rsidRPr="007859E1">
              <w:rPr>
                <w:rFonts w:ascii="Arial" w:eastAsia="Times New Roman" w:hAnsi="Arial" w:cs="Arial"/>
                <w:spacing w:val="-1"/>
                <w:sz w:val="20"/>
                <w:szCs w:val="20"/>
              </w:rPr>
              <w:t>8</w:t>
            </w:r>
            <w:r w:rsidRPr="007859E1">
              <w:rPr>
                <w:rFonts w:ascii="Arial" w:eastAsia="Times New Roman" w:hAnsi="Arial" w:cs="Arial"/>
                <w:spacing w:val="-1"/>
                <w:sz w:val="20"/>
                <w:szCs w:val="20"/>
              </w:rPr>
              <w:t>%</w:t>
            </w:r>
          </w:p>
        </w:tc>
        <w:tc>
          <w:tcPr>
            <w:tcW w:w="1260" w:type="dxa"/>
            <w:shd w:val="clear" w:color="auto" w:fill="auto"/>
            <w:vAlign w:val="center"/>
          </w:tcPr>
          <w:p w14:paraId="28B8B1FA" w14:textId="2E0A574F" w:rsidR="00316EE2" w:rsidRPr="007859E1" w:rsidRDefault="00316EE2" w:rsidP="00316EE2">
            <w:pPr>
              <w:spacing w:line="264"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14.64%</w:t>
            </w:r>
          </w:p>
        </w:tc>
        <w:tc>
          <w:tcPr>
            <w:tcW w:w="1350" w:type="dxa"/>
            <w:shd w:val="clear" w:color="auto" w:fill="auto"/>
            <w:vAlign w:val="center"/>
          </w:tcPr>
          <w:p w14:paraId="509085AE" w14:textId="77777777" w:rsidR="00316EE2" w:rsidRPr="007859E1" w:rsidRDefault="00316EE2" w:rsidP="00316EE2">
            <w:pPr>
              <w:spacing w:line="264"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7.65%</w:t>
            </w:r>
          </w:p>
        </w:tc>
        <w:tc>
          <w:tcPr>
            <w:tcW w:w="1260" w:type="dxa"/>
            <w:shd w:val="clear" w:color="auto" w:fill="auto"/>
            <w:vAlign w:val="center"/>
          </w:tcPr>
          <w:p w14:paraId="53655773" w14:textId="77777777" w:rsidR="00316EE2" w:rsidRPr="007859E1" w:rsidRDefault="00316EE2" w:rsidP="00316EE2">
            <w:pPr>
              <w:spacing w:line="264"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7.37%</w:t>
            </w:r>
          </w:p>
        </w:tc>
        <w:tc>
          <w:tcPr>
            <w:tcW w:w="2674" w:type="dxa"/>
            <w:shd w:val="clear" w:color="auto" w:fill="auto"/>
            <w:vAlign w:val="center"/>
          </w:tcPr>
          <w:p w14:paraId="71D8BE8D" w14:textId="77777777" w:rsidR="00316EE2" w:rsidRPr="007859E1" w:rsidRDefault="00316EE2" w:rsidP="00316EE2">
            <w:pPr>
              <w:spacing w:line="264"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7.89%</w:t>
            </w:r>
          </w:p>
        </w:tc>
      </w:tr>
      <w:tr w:rsidR="00316EE2" w:rsidRPr="007859E1" w14:paraId="359B1011" w14:textId="77777777" w:rsidTr="00316EE2">
        <w:trPr>
          <w:trHeight w:val="203"/>
        </w:trPr>
        <w:tc>
          <w:tcPr>
            <w:tcW w:w="1771" w:type="dxa"/>
            <w:vAlign w:val="center"/>
          </w:tcPr>
          <w:p w14:paraId="2E66CE98" w14:textId="77777777" w:rsidR="00316EE2" w:rsidRPr="007859E1" w:rsidRDefault="00316EE2" w:rsidP="00466CE6">
            <w:pPr>
              <w:spacing w:after="0" w:line="240" w:lineRule="auto"/>
              <w:rPr>
                <w:rFonts w:ascii="Arial" w:eastAsia="Times New Roman" w:hAnsi="Arial" w:cs="Arial"/>
                <w:spacing w:val="-1"/>
                <w:sz w:val="20"/>
                <w:szCs w:val="20"/>
              </w:rPr>
            </w:pPr>
            <w:r w:rsidRPr="007859E1">
              <w:rPr>
                <w:rFonts w:ascii="Arial" w:eastAsia="Times New Roman" w:hAnsi="Arial" w:cs="Arial"/>
                <w:spacing w:val="-1"/>
                <w:sz w:val="20"/>
                <w:szCs w:val="20"/>
              </w:rPr>
              <w:t>TI+ Fund Class I</w:t>
            </w:r>
          </w:p>
        </w:tc>
        <w:tc>
          <w:tcPr>
            <w:tcW w:w="2279" w:type="dxa"/>
          </w:tcPr>
          <w:p w14:paraId="3F93FF69" w14:textId="0854B76E" w:rsidR="00316EE2" w:rsidRPr="007859E1" w:rsidRDefault="00316EE2" w:rsidP="00466CE6">
            <w:pPr>
              <w:spacing w:after="0" w:line="240"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24.</w:t>
            </w:r>
            <w:r w:rsidR="00812706" w:rsidRPr="007859E1">
              <w:rPr>
                <w:rFonts w:ascii="Arial" w:eastAsia="Times New Roman" w:hAnsi="Arial" w:cs="Arial"/>
                <w:spacing w:val="-1"/>
                <w:sz w:val="20"/>
                <w:szCs w:val="20"/>
              </w:rPr>
              <w:t>39</w:t>
            </w:r>
            <w:r w:rsidRPr="007859E1">
              <w:rPr>
                <w:rFonts w:ascii="Arial" w:eastAsia="Times New Roman" w:hAnsi="Arial" w:cs="Arial"/>
                <w:spacing w:val="-1"/>
                <w:sz w:val="20"/>
                <w:szCs w:val="20"/>
              </w:rPr>
              <w:t>%</w:t>
            </w:r>
          </w:p>
        </w:tc>
        <w:tc>
          <w:tcPr>
            <w:tcW w:w="1260" w:type="dxa"/>
            <w:shd w:val="clear" w:color="auto" w:fill="auto"/>
            <w:vAlign w:val="center"/>
          </w:tcPr>
          <w:p w14:paraId="39106467" w14:textId="4DA149AB" w:rsidR="00316EE2" w:rsidRPr="007859E1" w:rsidRDefault="00316EE2" w:rsidP="00466CE6">
            <w:pPr>
              <w:spacing w:after="0" w:line="240"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21.91%</w:t>
            </w:r>
          </w:p>
        </w:tc>
        <w:tc>
          <w:tcPr>
            <w:tcW w:w="1350" w:type="dxa"/>
            <w:shd w:val="clear" w:color="auto" w:fill="auto"/>
            <w:vAlign w:val="center"/>
          </w:tcPr>
          <w:p w14:paraId="44E88C53" w14:textId="77777777" w:rsidR="00316EE2" w:rsidRPr="007859E1" w:rsidRDefault="00316EE2" w:rsidP="00466CE6">
            <w:pPr>
              <w:spacing w:after="0" w:line="240"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10.07%</w:t>
            </w:r>
          </w:p>
        </w:tc>
        <w:tc>
          <w:tcPr>
            <w:tcW w:w="1260" w:type="dxa"/>
            <w:shd w:val="clear" w:color="auto" w:fill="auto"/>
            <w:vAlign w:val="center"/>
          </w:tcPr>
          <w:p w14:paraId="285C1BE1" w14:textId="77777777" w:rsidR="00316EE2" w:rsidRPr="007859E1" w:rsidRDefault="00316EE2" w:rsidP="00466CE6">
            <w:pPr>
              <w:spacing w:after="0" w:line="240"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8.91%</w:t>
            </w:r>
          </w:p>
        </w:tc>
        <w:tc>
          <w:tcPr>
            <w:tcW w:w="2674" w:type="dxa"/>
            <w:shd w:val="clear" w:color="auto" w:fill="auto"/>
            <w:vAlign w:val="center"/>
          </w:tcPr>
          <w:p w14:paraId="70A64467" w14:textId="77777777" w:rsidR="00316EE2" w:rsidRPr="007859E1" w:rsidRDefault="00316EE2" w:rsidP="00466CE6">
            <w:pPr>
              <w:spacing w:after="0" w:line="240" w:lineRule="auto"/>
              <w:jc w:val="center"/>
              <w:rPr>
                <w:rFonts w:ascii="Arial" w:eastAsia="Times New Roman" w:hAnsi="Arial" w:cs="Arial"/>
                <w:spacing w:val="-1"/>
                <w:sz w:val="20"/>
                <w:szCs w:val="20"/>
              </w:rPr>
            </w:pPr>
            <w:r w:rsidRPr="007859E1">
              <w:rPr>
                <w:rFonts w:ascii="Arial" w:eastAsia="Times New Roman" w:hAnsi="Arial" w:cs="Arial"/>
                <w:spacing w:val="-1"/>
                <w:sz w:val="20"/>
                <w:szCs w:val="20"/>
              </w:rPr>
              <w:t>8.41%</w:t>
            </w:r>
          </w:p>
        </w:tc>
      </w:tr>
    </w:tbl>
    <w:p w14:paraId="7A26B7AC" w14:textId="77777777" w:rsidR="009B7EA7" w:rsidRPr="007859E1" w:rsidRDefault="009B7EA7" w:rsidP="00466CE6">
      <w:pPr>
        <w:spacing w:after="0" w:line="240" w:lineRule="auto"/>
        <w:jc w:val="both"/>
        <w:rPr>
          <w:rFonts w:ascii="Arial" w:hAnsi="Arial" w:cs="Arial"/>
          <w:spacing w:val="-2"/>
          <w:sz w:val="16"/>
          <w:szCs w:val="16"/>
        </w:rPr>
      </w:pPr>
    </w:p>
    <w:p w14:paraId="71D9ADBD" w14:textId="72CE9493" w:rsidR="008C5612" w:rsidRPr="007859E1" w:rsidRDefault="008C5612" w:rsidP="00466CE6">
      <w:pPr>
        <w:spacing w:after="0" w:line="240" w:lineRule="auto"/>
        <w:jc w:val="both"/>
        <w:rPr>
          <w:rFonts w:ascii="Arial" w:hAnsi="Arial" w:cs="Arial"/>
          <w:spacing w:val="-2"/>
          <w:sz w:val="16"/>
          <w:szCs w:val="16"/>
        </w:rPr>
      </w:pPr>
      <w:r w:rsidRPr="007859E1">
        <w:rPr>
          <w:rFonts w:ascii="Arial" w:hAnsi="Arial" w:cs="Arial"/>
          <w:spacing w:val="-2"/>
          <w:sz w:val="16"/>
          <w:szCs w:val="16"/>
        </w:rPr>
        <w:t>Returns presented are total net return: Expressed in percentage terms, the calculation of total return is determined by taking the change in price, reinvesting, if applicable, all income and capital gains distributions during the period, and dividing by the starting price. Returns greater than one year are annualized.</w:t>
      </w:r>
    </w:p>
    <w:p w14:paraId="12944C98" w14:textId="77777777" w:rsidR="00C05C34" w:rsidRDefault="00C05C34" w:rsidP="008C5612">
      <w:pPr>
        <w:spacing w:after="0" w:line="264" w:lineRule="auto"/>
        <w:ind w:left="144" w:hanging="144"/>
        <w:rPr>
          <w:rFonts w:ascii="Arial" w:hAnsi="Arial" w:cs="Arial"/>
          <w:spacing w:val="-2"/>
          <w:sz w:val="16"/>
          <w:szCs w:val="16"/>
          <w:vertAlign w:val="superscript"/>
        </w:rPr>
      </w:pPr>
    </w:p>
    <w:p w14:paraId="46EB1C34" w14:textId="4E579FA5" w:rsidR="008C5612" w:rsidRPr="007859E1" w:rsidRDefault="0095563D" w:rsidP="008C5612">
      <w:pPr>
        <w:spacing w:after="0" w:line="264" w:lineRule="auto"/>
        <w:ind w:left="144" w:hanging="144"/>
        <w:rPr>
          <w:rFonts w:ascii="Arial" w:hAnsi="Arial" w:cs="Arial"/>
          <w:spacing w:val="-2"/>
          <w:sz w:val="16"/>
          <w:szCs w:val="16"/>
        </w:rPr>
      </w:pPr>
      <w:r w:rsidRPr="007859E1">
        <w:rPr>
          <w:rFonts w:ascii="Arial" w:hAnsi="Arial" w:cs="Arial"/>
          <w:spacing w:val="-2"/>
          <w:sz w:val="16"/>
          <w:szCs w:val="16"/>
          <w:vertAlign w:val="superscript"/>
        </w:rPr>
        <w:t>7</w:t>
      </w:r>
      <w:r w:rsidRPr="007859E1">
        <w:rPr>
          <w:rFonts w:ascii="Arial" w:hAnsi="Arial" w:cs="Arial"/>
          <w:spacing w:val="-2"/>
          <w:sz w:val="16"/>
          <w:szCs w:val="16"/>
        </w:rPr>
        <w:t xml:space="preserve"> </w:t>
      </w:r>
      <w:r w:rsidR="004D79B8" w:rsidRPr="007859E1">
        <w:rPr>
          <w:rFonts w:ascii="Arial" w:hAnsi="Arial" w:cs="Arial"/>
          <w:spacing w:val="-2"/>
          <w:sz w:val="16"/>
          <w:szCs w:val="16"/>
        </w:rPr>
        <w:t xml:space="preserve">Inception date of the TI+ Fund Class A-share is October 22, </w:t>
      </w:r>
      <w:proofErr w:type="gramStart"/>
      <w:r w:rsidR="004D79B8" w:rsidRPr="007859E1">
        <w:rPr>
          <w:rFonts w:ascii="Arial" w:hAnsi="Arial" w:cs="Arial"/>
          <w:spacing w:val="-2"/>
          <w:sz w:val="16"/>
          <w:szCs w:val="16"/>
        </w:rPr>
        <w:t>2012</w:t>
      </w:r>
      <w:proofErr w:type="gramEnd"/>
      <w:r w:rsidR="004D79B8" w:rsidRPr="007859E1">
        <w:rPr>
          <w:rFonts w:ascii="Arial" w:hAnsi="Arial" w:cs="Arial"/>
          <w:spacing w:val="-2"/>
          <w:sz w:val="16"/>
          <w:szCs w:val="16"/>
        </w:rPr>
        <w:t xml:space="preserve"> and Class I-share is April 1, 2014</w:t>
      </w:r>
    </w:p>
    <w:p w14:paraId="44A5CA23" w14:textId="3094A825" w:rsidR="008C5612" w:rsidRPr="007859E1" w:rsidRDefault="0095563D" w:rsidP="008C5612">
      <w:pPr>
        <w:spacing w:after="0" w:line="264" w:lineRule="auto"/>
        <w:ind w:left="144" w:hanging="144"/>
        <w:rPr>
          <w:rFonts w:ascii="Arial" w:hAnsi="Arial" w:cs="Arial"/>
          <w:spacing w:val="-2"/>
          <w:sz w:val="16"/>
          <w:szCs w:val="16"/>
        </w:rPr>
      </w:pPr>
      <w:r w:rsidRPr="007859E1">
        <w:rPr>
          <w:rFonts w:ascii="Arial" w:hAnsi="Arial" w:cs="Arial"/>
          <w:spacing w:val="-2"/>
          <w:sz w:val="16"/>
          <w:szCs w:val="16"/>
          <w:vertAlign w:val="superscript"/>
        </w:rPr>
        <w:t>8</w:t>
      </w:r>
      <w:r w:rsidRPr="007859E1">
        <w:rPr>
          <w:rFonts w:ascii="Arial" w:hAnsi="Arial" w:cs="Arial"/>
          <w:spacing w:val="-2"/>
          <w:sz w:val="16"/>
          <w:szCs w:val="16"/>
        </w:rPr>
        <w:t xml:space="preserve"> </w:t>
      </w:r>
      <w:r w:rsidR="008C5612" w:rsidRPr="007859E1">
        <w:rPr>
          <w:rFonts w:ascii="Arial" w:hAnsi="Arial" w:cs="Arial"/>
          <w:spacing w:val="-2"/>
          <w:sz w:val="16"/>
          <w:szCs w:val="16"/>
        </w:rPr>
        <w:t>The maximum sales charge for the Class A shares is 5.75%. Investors may be eligible for a waiver or a reduction in the sales charge.</w:t>
      </w:r>
    </w:p>
    <w:p w14:paraId="274872FD" w14:textId="77777777" w:rsidR="008C5612" w:rsidRPr="008C5612" w:rsidRDefault="008C5612" w:rsidP="008C5612">
      <w:pPr>
        <w:spacing w:after="0" w:line="264" w:lineRule="auto"/>
        <w:rPr>
          <w:rFonts w:ascii="Arial" w:hAnsi="Arial" w:cs="Arial"/>
          <w:spacing w:val="-2"/>
          <w:sz w:val="20"/>
          <w:szCs w:val="20"/>
        </w:rPr>
      </w:pPr>
    </w:p>
    <w:p w14:paraId="21701852" w14:textId="306CADD8" w:rsidR="008C5612" w:rsidRPr="00282BB3" w:rsidRDefault="008C5612" w:rsidP="008C5612">
      <w:pPr>
        <w:pStyle w:val="Default"/>
        <w:spacing w:after="240" w:line="276" w:lineRule="auto"/>
        <w:jc w:val="both"/>
        <w:rPr>
          <w:rFonts w:ascii="Arial" w:hAnsi="Arial" w:cs="Arial"/>
          <w:sz w:val="18"/>
          <w:szCs w:val="18"/>
        </w:rPr>
      </w:pPr>
      <w:r w:rsidRPr="00282BB3">
        <w:rPr>
          <w:rFonts w:ascii="Arial" w:eastAsiaTheme="minorHAnsi" w:hAnsi="Arial" w:cs="Arial"/>
          <w:i/>
          <w:color w:val="auto"/>
          <w:sz w:val="18"/>
          <w:szCs w:val="18"/>
        </w:rPr>
        <w:t>The performance data quoted here represents past performance. Current performance may be lower or higher than the performance data quoted above. Investment return and principal value will fluctuate, so that shares, when redeemed, may be worth more or less than their original cost. For performance information current to the most recent month end, please call toll-free 1-888-459-1059</w:t>
      </w:r>
      <w:r w:rsidR="00152D30">
        <w:rPr>
          <w:rFonts w:ascii="Arial" w:eastAsiaTheme="minorHAnsi" w:hAnsi="Arial" w:cs="Arial"/>
          <w:i/>
          <w:color w:val="auto"/>
          <w:sz w:val="18"/>
          <w:szCs w:val="18"/>
        </w:rPr>
        <w:t xml:space="preserve"> or visit bluerockfunds.com/performance</w:t>
      </w:r>
      <w:r w:rsidRPr="00282BB3">
        <w:rPr>
          <w:rFonts w:ascii="Arial" w:eastAsiaTheme="minorHAnsi" w:hAnsi="Arial" w:cs="Arial"/>
          <w:i/>
          <w:color w:val="auto"/>
          <w:sz w:val="18"/>
          <w:szCs w:val="18"/>
        </w:rPr>
        <w:t>.  Past performance is no guarantee of future results.</w:t>
      </w:r>
      <w:r w:rsidRPr="00282BB3">
        <w:rPr>
          <w:rFonts w:ascii="Arial" w:hAnsi="Arial" w:cs="Arial"/>
          <w:sz w:val="18"/>
          <w:szCs w:val="18"/>
        </w:rPr>
        <w:t xml:space="preserve"> </w:t>
      </w:r>
    </w:p>
    <w:p w14:paraId="6461D568" w14:textId="622D4D83" w:rsidR="008C5612" w:rsidRPr="00282BB3" w:rsidRDefault="008C5612" w:rsidP="008C5612">
      <w:pPr>
        <w:pStyle w:val="Default"/>
        <w:spacing w:after="240" w:line="276" w:lineRule="auto"/>
        <w:jc w:val="both"/>
        <w:rPr>
          <w:rFonts w:ascii="Arial" w:hAnsi="Arial" w:cs="Arial"/>
          <w:sz w:val="18"/>
          <w:szCs w:val="18"/>
        </w:rPr>
      </w:pPr>
      <w:r w:rsidRPr="00282BB3">
        <w:rPr>
          <w:rFonts w:ascii="Arial" w:eastAsiaTheme="minorHAnsi" w:hAnsi="Arial" w:cs="Arial"/>
          <w:color w:val="auto"/>
          <w:sz w:val="18"/>
          <w:szCs w:val="18"/>
        </w:rPr>
        <w:t>The total annual fund operating expense ratio, gross of any fee waivers or expense reimbursements, is 2.</w:t>
      </w:r>
      <w:r w:rsidR="009B7EA7">
        <w:rPr>
          <w:rFonts w:ascii="Arial" w:eastAsiaTheme="minorHAnsi" w:hAnsi="Arial" w:cs="Arial"/>
          <w:color w:val="auto"/>
          <w:sz w:val="18"/>
          <w:szCs w:val="18"/>
        </w:rPr>
        <w:t>09</w:t>
      </w:r>
      <w:r w:rsidRPr="00282BB3">
        <w:rPr>
          <w:rFonts w:ascii="Arial" w:eastAsiaTheme="minorHAnsi" w:hAnsi="Arial" w:cs="Arial"/>
          <w:color w:val="auto"/>
          <w:sz w:val="18"/>
          <w:szCs w:val="18"/>
        </w:rPr>
        <w:t xml:space="preserve">% for Class A </w:t>
      </w:r>
      <w:r w:rsidR="004D79B8">
        <w:rPr>
          <w:rFonts w:ascii="Arial" w:eastAsiaTheme="minorHAnsi" w:hAnsi="Arial" w:cs="Arial"/>
          <w:color w:val="auto"/>
          <w:sz w:val="18"/>
          <w:szCs w:val="18"/>
        </w:rPr>
        <w:t>and</w:t>
      </w:r>
      <w:r w:rsidRPr="00282BB3">
        <w:rPr>
          <w:rFonts w:ascii="Arial" w:eastAsiaTheme="minorHAnsi" w:hAnsi="Arial" w:cs="Arial"/>
          <w:color w:val="auto"/>
          <w:sz w:val="18"/>
          <w:szCs w:val="18"/>
        </w:rPr>
        <w:t xml:space="preserve"> 1.</w:t>
      </w:r>
      <w:r w:rsidR="009B7EA7">
        <w:rPr>
          <w:rFonts w:ascii="Arial" w:eastAsiaTheme="minorHAnsi" w:hAnsi="Arial" w:cs="Arial"/>
          <w:color w:val="auto"/>
          <w:sz w:val="18"/>
          <w:szCs w:val="18"/>
        </w:rPr>
        <w:t>8</w:t>
      </w:r>
      <w:r w:rsidRPr="00282BB3">
        <w:rPr>
          <w:rFonts w:ascii="Arial" w:eastAsiaTheme="minorHAnsi" w:hAnsi="Arial" w:cs="Arial"/>
          <w:color w:val="auto"/>
          <w:sz w:val="18"/>
          <w:szCs w:val="18"/>
        </w:rPr>
        <w:t>3% for Class I. The Fund’s investment advisor has contractually agreed to reduce its fees and/or absorb expenses of the fund, at least until January 31, 202</w:t>
      </w:r>
      <w:r w:rsidR="009B7EA7">
        <w:rPr>
          <w:rFonts w:ascii="Arial" w:eastAsiaTheme="minorHAnsi" w:hAnsi="Arial" w:cs="Arial"/>
          <w:color w:val="auto"/>
          <w:sz w:val="18"/>
          <w:szCs w:val="18"/>
        </w:rPr>
        <w:t>3</w:t>
      </w:r>
      <w:r w:rsidRPr="00282BB3">
        <w:rPr>
          <w:rFonts w:ascii="Arial" w:eastAsiaTheme="minorHAnsi" w:hAnsi="Arial" w:cs="Arial"/>
          <w:color w:val="auto"/>
          <w:sz w:val="18"/>
          <w:szCs w:val="18"/>
        </w:rPr>
        <w:t xml:space="preserve"> for Class A, </w:t>
      </w:r>
      <w:r w:rsidR="004D79B8">
        <w:rPr>
          <w:rFonts w:ascii="Arial" w:eastAsiaTheme="minorHAnsi" w:hAnsi="Arial" w:cs="Arial"/>
          <w:color w:val="auto"/>
          <w:sz w:val="18"/>
          <w:szCs w:val="18"/>
        </w:rPr>
        <w:t xml:space="preserve">and </w:t>
      </w:r>
      <w:r w:rsidRPr="00282BB3">
        <w:rPr>
          <w:rFonts w:ascii="Arial" w:eastAsiaTheme="minorHAnsi" w:hAnsi="Arial" w:cs="Arial"/>
          <w:color w:val="auto"/>
          <w:sz w:val="18"/>
          <w:szCs w:val="18"/>
        </w:rPr>
        <w:t>I</w:t>
      </w:r>
      <w:r w:rsidR="004D79B8">
        <w:rPr>
          <w:rFonts w:ascii="Arial" w:eastAsiaTheme="minorHAnsi" w:hAnsi="Arial" w:cs="Arial"/>
          <w:color w:val="auto"/>
          <w:sz w:val="18"/>
          <w:szCs w:val="18"/>
        </w:rPr>
        <w:t>-s</w:t>
      </w:r>
      <w:r w:rsidRPr="00282BB3">
        <w:rPr>
          <w:rFonts w:ascii="Arial" w:eastAsiaTheme="minorHAnsi" w:hAnsi="Arial" w:cs="Arial"/>
          <w:color w:val="auto"/>
          <w:sz w:val="18"/>
          <w:szCs w:val="18"/>
        </w:rPr>
        <w:t xml:space="preserve">hares, to ensure that the net annual fund operating expenses will not exceed 1.95% for Class A, </w:t>
      </w:r>
      <w:r w:rsidR="004D79B8">
        <w:rPr>
          <w:rFonts w:ascii="Arial" w:eastAsiaTheme="minorHAnsi" w:hAnsi="Arial" w:cs="Arial"/>
          <w:color w:val="auto"/>
          <w:sz w:val="18"/>
          <w:szCs w:val="18"/>
        </w:rPr>
        <w:t>and</w:t>
      </w:r>
      <w:r w:rsidR="00282BB3" w:rsidRPr="00282BB3">
        <w:rPr>
          <w:rFonts w:ascii="Arial" w:eastAsiaTheme="minorHAnsi" w:hAnsi="Arial" w:cs="Arial"/>
          <w:color w:val="auto"/>
          <w:sz w:val="18"/>
          <w:szCs w:val="18"/>
        </w:rPr>
        <w:t xml:space="preserve"> </w:t>
      </w:r>
      <w:r w:rsidRPr="00282BB3">
        <w:rPr>
          <w:rFonts w:ascii="Arial" w:eastAsiaTheme="minorHAnsi" w:hAnsi="Arial" w:cs="Arial"/>
          <w:color w:val="auto"/>
          <w:sz w:val="18"/>
          <w:szCs w:val="18"/>
        </w:rPr>
        <w:t>1.70% for Class I</w:t>
      </w:r>
      <w:r w:rsidR="00282BB3" w:rsidRPr="00282BB3">
        <w:rPr>
          <w:rFonts w:ascii="Arial" w:eastAsiaTheme="minorHAnsi" w:hAnsi="Arial" w:cs="Arial"/>
          <w:color w:val="auto"/>
          <w:sz w:val="18"/>
          <w:szCs w:val="18"/>
        </w:rPr>
        <w:t xml:space="preserve"> </w:t>
      </w:r>
      <w:r w:rsidRPr="00282BB3">
        <w:rPr>
          <w:rFonts w:ascii="Arial" w:eastAsiaTheme="minorHAnsi" w:hAnsi="Arial" w:cs="Arial"/>
          <w:color w:val="auto"/>
          <w:sz w:val="18"/>
          <w:szCs w:val="18"/>
        </w:rPr>
        <w:t xml:space="preserve">per annum of the Fund’s average daily net assets attributable to Class A, </w:t>
      </w:r>
      <w:r w:rsidR="004D79B8">
        <w:rPr>
          <w:rFonts w:ascii="Arial" w:eastAsiaTheme="minorHAnsi" w:hAnsi="Arial" w:cs="Arial"/>
          <w:color w:val="auto"/>
          <w:sz w:val="18"/>
          <w:szCs w:val="18"/>
        </w:rPr>
        <w:t>and</w:t>
      </w:r>
      <w:r w:rsidRPr="00282BB3">
        <w:rPr>
          <w:rFonts w:ascii="Arial" w:eastAsiaTheme="minorHAnsi" w:hAnsi="Arial" w:cs="Arial"/>
          <w:color w:val="auto"/>
          <w:sz w:val="18"/>
          <w:szCs w:val="18"/>
        </w:rPr>
        <w:t xml:space="preserve"> Class I, respectively, subject to possible recoupment from the Fund in future years. Please review the Fund’s Prospectus for more detail on the expense waiver. A fund’s performance, especially for very short periods of time</w:t>
      </w:r>
      <w:r w:rsidRPr="00282BB3">
        <w:rPr>
          <w:rFonts w:ascii="Arial" w:hAnsi="Arial" w:cs="Arial"/>
          <w:sz w:val="18"/>
          <w:szCs w:val="18"/>
        </w:rPr>
        <w:t xml:space="preserve">, should not be the sole factor in making your investment decisions. Fund performance and distributions are presented net of fees.  </w:t>
      </w:r>
    </w:p>
    <w:p w14:paraId="782E1475" w14:textId="77777777" w:rsidR="00282BB3" w:rsidRPr="00282BB3" w:rsidRDefault="00282BB3" w:rsidP="00282BB3">
      <w:pPr>
        <w:spacing w:after="0" w:line="264" w:lineRule="auto"/>
        <w:jc w:val="both"/>
        <w:rPr>
          <w:rFonts w:ascii="Arial" w:eastAsia="Times New Roman" w:hAnsi="Arial" w:cs="Arial"/>
          <w:b/>
          <w:bCs/>
          <w:sz w:val="18"/>
          <w:szCs w:val="18"/>
        </w:rPr>
      </w:pPr>
      <w:r w:rsidRPr="00282BB3">
        <w:rPr>
          <w:rFonts w:ascii="Arial" w:eastAsia="Times New Roman" w:hAnsi="Arial" w:cs="Arial"/>
          <w:b/>
          <w:bCs/>
          <w:sz w:val="18"/>
          <w:szCs w:val="18"/>
        </w:rPr>
        <w:t xml:space="preserve">About Bluerock </w:t>
      </w:r>
    </w:p>
    <w:p w14:paraId="1AD3C46E" w14:textId="4BDF2414" w:rsidR="00282BB3" w:rsidRPr="00282BB3" w:rsidRDefault="00282BB3" w:rsidP="00282BB3">
      <w:pPr>
        <w:spacing w:after="0" w:line="264" w:lineRule="auto"/>
        <w:jc w:val="both"/>
        <w:rPr>
          <w:rFonts w:ascii="Arial" w:eastAsia="Calibri" w:hAnsi="Arial" w:cs="Arial"/>
          <w:sz w:val="18"/>
          <w:szCs w:val="18"/>
        </w:rPr>
      </w:pPr>
      <w:r w:rsidRPr="00282BB3">
        <w:rPr>
          <w:rFonts w:ascii="Arial" w:eastAsia="Calibri" w:hAnsi="Arial" w:cs="Arial"/>
          <w:sz w:val="18"/>
          <w:szCs w:val="18"/>
        </w:rPr>
        <w:t>Bluerock is a leading institutional alternative asset manager with more than $</w:t>
      </w:r>
      <w:r w:rsidR="009B7EA7">
        <w:rPr>
          <w:rFonts w:ascii="Arial" w:eastAsia="Calibri" w:hAnsi="Arial" w:cs="Arial"/>
          <w:sz w:val="18"/>
          <w:szCs w:val="18"/>
        </w:rPr>
        <w:t>12</w:t>
      </w:r>
      <w:r w:rsidRPr="00282BB3">
        <w:rPr>
          <w:rFonts w:ascii="Arial" w:eastAsia="Calibri" w:hAnsi="Arial" w:cs="Arial"/>
          <w:sz w:val="18"/>
          <w:szCs w:val="18"/>
        </w:rPr>
        <w:t xml:space="preserve"> billion of acquired and managed assets headquartered in Manhattan with regional offices across the U.S. Bluerock principals have a collective 100+ years of investing experience</w:t>
      </w:r>
      <w:r w:rsidRPr="00282BB3">
        <w:rPr>
          <w:rFonts w:ascii="Arial" w:eastAsia="Cambria" w:hAnsi="Arial" w:cs="Arial"/>
          <w:sz w:val="18"/>
          <w:szCs w:val="18"/>
        </w:rPr>
        <w:t xml:space="preserve"> </w:t>
      </w:r>
      <w:r w:rsidRPr="00282BB3">
        <w:rPr>
          <w:rFonts w:ascii="Arial" w:eastAsia="Calibri" w:hAnsi="Arial" w:cs="Arial"/>
          <w:sz w:val="18"/>
          <w:szCs w:val="18"/>
        </w:rPr>
        <w:t xml:space="preserve">with more than $48 billion real estate and capital markets experience and have helped launch leading private and public company platforms. </w:t>
      </w:r>
    </w:p>
    <w:p w14:paraId="0077BA52" w14:textId="77777777" w:rsidR="00282BB3" w:rsidRPr="00282BB3" w:rsidRDefault="00282BB3" w:rsidP="00282BB3">
      <w:pPr>
        <w:spacing w:after="0"/>
        <w:jc w:val="both"/>
        <w:rPr>
          <w:rFonts w:ascii="Arial" w:hAnsi="Arial" w:cs="Arial"/>
          <w:b/>
          <w:sz w:val="18"/>
          <w:szCs w:val="18"/>
        </w:rPr>
      </w:pPr>
    </w:p>
    <w:p w14:paraId="21D6E17D" w14:textId="0C337DA9" w:rsidR="00282BB3" w:rsidRPr="00282BB3" w:rsidRDefault="00282BB3" w:rsidP="00282BB3">
      <w:pPr>
        <w:spacing w:after="0"/>
        <w:jc w:val="both"/>
        <w:rPr>
          <w:rFonts w:ascii="Arial" w:hAnsi="Arial" w:cs="Arial"/>
          <w:b/>
          <w:sz w:val="18"/>
          <w:szCs w:val="18"/>
        </w:rPr>
      </w:pPr>
      <w:r w:rsidRPr="00282BB3">
        <w:rPr>
          <w:rFonts w:ascii="Arial" w:hAnsi="Arial" w:cs="Arial"/>
          <w:b/>
          <w:sz w:val="18"/>
          <w:szCs w:val="18"/>
        </w:rPr>
        <w:t>About Bluerock Total Income+ Real Estate Fund</w:t>
      </w:r>
    </w:p>
    <w:p w14:paraId="4B954450" w14:textId="138A2F01" w:rsidR="00282BB3" w:rsidRPr="00282BB3" w:rsidRDefault="00282BB3" w:rsidP="00282BB3">
      <w:pPr>
        <w:jc w:val="both"/>
        <w:rPr>
          <w:rFonts w:ascii="Arial" w:hAnsi="Arial" w:cs="Arial"/>
          <w:sz w:val="18"/>
          <w:szCs w:val="18"/>
        </w:rPr>
      </w:pPr>
      <w:r w:rsidRPr="00282BB3">
        <w:rPr>
          <w:rFonts w:ascii="Arial" w:hAnsi="Arial" w:cs="Arial"/>
          <w:sz w:val="18"/>
          <w:szCs w:val="18"/>
        </w:rPr>
        <w:t xml:space="preserve">The Bluerock Total Income+ Real Estate Fund offers individual investors access to a portfolio of institutional real estate securities managed by top-ranked fund managers. The Fund seeks to provide a comprehensive real estate holding designed to provide a combination of current income, capital preservation, long-term capital appreciation and enhanced portfolio </w:t>
      </w:r>
      <w:r w:rsidRPr="00282BB3">
        <w:rPr>
          <w:rFonts w:ascii="Arial" w:hAnsi="Arial" w:cs="Arial"/>
          <w:sz w:val="18"/>
          <w:szCs w:val="18"/>
        </w:rPr>
        <w:lastRenderedPageBreak/>
        <w:t>diversification with low to moderate volatility and low correlation to the broader equity and fixed income markets. The Fund utilizes an exclusive partnership with Mercer Investment Management, Inc., the world’s leading advisor to endowments, pension funds, sovereign wealth funds and family offices globally, with over 3,300 clients worldwide, and over $15.</w:t>
      </w:r>
      <w:r w:rsidR="001458C3">
        <w:rPr>
          <w:rFonts w:ascii="Arial" w:hAnsi="Arial" w:cs="Arial"/>
          <w:sz w:val="18"/>
          <w:szCs w:val="18"/>
        </w:rPr>
        <w:t>5</w:t>
      </w:r>
      <w:r w:rsidRPr="00282BB3">
        <w:rPr>
          <w:rFonts w:ascii="Arial" w:hAnsi="Arial" w:cs="Arial"/>
          <w:sz w:val="18"/>
          <w:szCs w:val="18"/>
        </w:rPr>
        <w:t xml:space="preserve"> trillion in assets under advisement.</w:t>
      </w:r>
    </w:p>
    <w:p w14:paraId="19BD71BB" w14:textId="065E7437" w:rsidR="00282BB3" w:rsidRPr="00282BB3" w:rsidRDefault="00282BB3" w:rsidP="00282BB3">
      <w:pPr>
        <w:spacing w:after="0" w:line="240" w:lineRule="auto"/>
        <w:jc w:val="both"/>
        <w:rPr>
          <w:rFonts w:ascii="Arial" w:hAnsi="Arial" w:cs="Arial"/>
          <w:sz w:val="18"/>
          <w:szCs w:val="18"/>
          <w:u w:val="single"/>
        </w:rPr>
      </w:pPr>
      <w:r w:rsidRPr="00282BB3">
        <w:rPr>
          <w:rFonts w:ascii="Arial" w:hAnsi="Arial" w:cs="Arial"/>
          <w:sz w:val="18"/>
          <w:szCs w:val="18"/>
          <w:u w:val="single"/>
        </w:rPr>
        <w:t>Disclosures</w:t>
      </w:r>
    </w:p>
    <w:p w14:paraId="19FB4F7D" w14:textId="77777777" w:rsidR="00282BB3" w:rsidRPr="00282BB3" w:rsidRDefault="00282BB3" w:rsidP="00282BB3">
      <w:pPr>
        <w:spacing w:after="0" w:line="240" w:lineRule="auto"/>
        <w:jc w:val="both"/>
        <w:rPr>
          <w:rFonts w:ascii="Arial" w:hAnsi="Arial" w:cs="Arial"/>
          <w:sz w:val="18"/>
          <w:szCs w:val="18"/>
        </w:rPr>
      </w:pPr>
    </w:p>
    <w:p w14:paraId="1844EBE6" w14:textId="6F6D15D1" w:rsidR="008C5612" w:rsidRPr="00282BB3" w:rsidRDefault="008C5612" w:rsidP="00152D30">
      <w:pPr>
        <w:spacing w:after="0" w:line="240" w:lineRule="auto"/>
        <w:jc w:val="both"/>
        <w:rPr>
          <w:rFonts w:ascii="Arial" w:hAnsi="Arial" w:cs="Arial"/>
          <w:sz w:val="18"/>
          <w:szCs w:val="18"/>
        </w:rPr>
      </w:pPr>
      <w:r w:rsidRPr="00282BB3">
        <w:rPr>
          <w:rFonts w:ascii="Arial" w:hAnsi="Arial" w:cs="Arial"/>
          <w:sz w:val="18"/>
          <w:szCs w:val="18"/>
        </w:rPr>
        <w:t>The Bluerock Total Income+ Real Estate Fund is a closed-end interval fund that invests the majority of its assets in institutional private equity real estate securities that are generally available only to institutional investors capable of meeting the multi-million dollar minimum investment criteria. As of Q</w:t>
      </w:r>
      <w:r w:rsidR="00152D30">
        <w:rPr>
          <w:rFonts w:ascii="Arial" w:hAnsi="Arial" w:cs="Arial"/>
          <w:sz w:val="18"/>
          <w:szCs w:val="18"/>
        </w:rPr>
        <w:t>4</w:t>
      </w:r>
      <w:r w:rsidRPr="00282BB3">
        <w:rPr>
          <w:rFonts w:ascii="Arial" w:hAnsi="Arial" w:cs="Arial"/>
          <w:sz w:val="18"/>
          <w:szCs w:val="18"/>
        </w:rPr>
        <w:t xml:space="preserve"> 2021, the value of the underlying real estate held by the securities in which the Fund is invested is approximately $2</w:t>
      </w:r>
      <w:r w:rsidR="00152D30">
        <w:rPr>
          <w:rFonts w:ascii="Arial" w:hAnsi="Arial" w:cs="Arial"/>
          <w:sz w:val="18"/>
          <w:szCs w:val="18"/>
        </w:rPr>
        <w:t>9</w:t>
      </w:r>
      <w:r w:rsidR="00331A24" w:rsidRPr="00282BB3">
        <w:rPr>
          <w:rFonts w:ascii="Arial" w:hAnsi="Arial" w:cs="Arial"/>
          <w:sz w:val="18"/>
          <w:szCs w:val="18"/>
        </w:rPr>
        <w:t>2</w:t>
      </w:r>
      <w:r w:rsidRPr="00282BB3">
        <w:rPr>
          <w:rFonts w:ascii="Arial" w:hAnsi="Arial" w:cs="Arial"/>
          <w:sz w:val="18"/>
          <w:szCs w:val="18"/>
        </w:rPr>
        <w:t xml:space="preserve"> billion, including investments managed by Ares, Blackstone, Morgan Stanley, Principal, Prudential, Clarion Partners, Invesco and RREEF, among others. The minimum investment in the Fund is $2,500 ($1,000 for retirement plans) for Class A, C, and L shares.  </w:t>
      </w:r>
    </w:p>
    <w:p w14:paraId="6958A446" w14:textId="77777777" w:rsidR="00152D30" w:rsidRDefault="00152D30" w:rsidP="00152D30">
      <w:pPr>
        <w:spacing w:after="0" w:line="240" w:lineRule="auto"/>
        <w:jc w:val="both"/>
        <w:rPr>
          <w:rFonts w:ascii="Arial" w:hAnsi="Arial" w:cs="Arial"/>
          <w:sz w:val="18"/>
          <w:szCs w:val="18"/>
        </w:rPr>
      </w:pPr>
    </w:p>
    <w:p w14:paraId="271A865C" w14:textId="5B737355" w:rsidR="008C5612" w:rsidRDefault="008C5612" w:rsidP="00152D30">
      <w:pPr>
        <w:spacing w:after="0" w:line="240" w:lineRule="auto"/>
        <w:jc w:val="both"/>
        <w:rPr>
          <w:rFonts w:ascii="Arial" w:hAnsi="Arial" w:cs="Arial"/>
          <w:sz w:val="18"/>
          <w:szCs w:val="18"/>
        </w:rPr>
      </w:pPr>
      <w:r w:rsidRPr="00282BB3">
        <w:rPr>
          <w:rFonts w:ascii="Arial" w:hAnsi="Arial" w:cs="Arial"/>
          <w:sz w:val="18"/>
          <w:szCs w:val="18"/>
        </w:rPr>
        <w:t xml:space="preserve">For copies of TI+ public company filings, please visit the U.S. Securities and Exchange Commission’s website at </w:t>
      </w:r>
      <w:hyperlink r:id="rId7" w:history="1">
        <w:r w:rsidRPr="00282BB3">
          <w:rPr>
            <w:rStyle w:val="Hyperlink"/>
            <w:rFonts w:ascii="Arial" w:hAnsi="Arial" w:cs="Arial"/>
            <w:sz w:val="18"/>
            <w:szCs w:val="18"/>
          </w:rPr>
          <w:t>www.sec.gov</w:t>
        </w:r>
      </w:hyperlink>
      <w:r w:rsidRPr="00282BB3">
        <w:rPr>
          <w:rFonts w:ascii="Arial" w:hAnsi="Arial" w:cs="Arial"/>
          <w:sz w:val="18"/>
          <w:szCs w:val="18"/>
        </w:rPr>
        <w:t xml:space="preserve"> or the Company’s website at </w:t>
      </w:r>
      <w:hyperlink r:id="rId8" w:history="1">
        <w:r w:rsidRPr="00282BB3">
          <w:rPr>
            <w:rFonts w:ascii="Arial" w:hAnsi="Arial" w:cs="Arial"/>
            <w:sz w:val="18"/>
            <w:szCs w:val="18"/>
          </w:rPr>
          <w:t>www.bluerockfunds.com</w:t>
        </w:r>
      </w:hyperlink>
      <w:r w:rsidRPr="00282BB3">
        <w:rPr>
          <w:rFonts w:ascii="Arial" w:hAnsi="Arial" w:cs="Arial"/>
          <w:sz w:val="18"/>
          <w:szCs w:val="18"/>
        </w:rPr>
        <w:t>.</w:t>
      </w:r>
    </w:p>
    <w:p w14:paraId="771C76BE" w14:textId="77777777" w:rsidR="00152D30" w:rsidRPr="00282BB3" w:rsidRDefault="00152D30" w:rsidP="00152D30">
      <w:pPr>
        <w:spacing w:after="0" w:line="240" w:lineRule="auto"/>
        <w:jc w:val="both"/>
        <w:rPr>
          <w:rFonts w:ascii="Arial" w:hAnsi="Arial" w:cs="Arial"/>
          <w:sz w:val="18"/>
          <w:szCs w:val="18"/>
        </w:rPr>
      </w:pPr>
    </w:p>
    <w:p w14:paraId="5884D3D2" w14:textId="1A044253" w:rsidR="008C5612" w:rsidRDefault="008C5612" w:rsidP="00152D30">
      <w:pPr>
        <w:spacing w:after="0" w:line="240" w:lineRule="auto"/>
        <w:jc w:val="both"/>
        <w:rPr>
          <w:rFonts w:ascii="Arial" w:hAnsi="Arial" w:cs="Arial"/>
          <w:i/>
          <w:sz w:val="18"/>
          <w:szCs w:val="18"/>
        </w:rPr>
      </w:pPr>
      <w:r w:rsidRPr="00282BB3">
        <w:rPr>
          <w:rFonts w:ascii="Arial" w:hAnsi="Arial" w:cs="Arial"/>
          <w:i/>
          <w:sz w:val="18"/>
          <w:szCs w:val="18"/>
        </w:rPr>
        <w:t xml:space="preserve">Investing in the Bluerock Total Income+ Real Estate Fund involves risks, including the loss of principal. The Fund intends to make investments in multiple real estate securities that may subject the Fund to additional fees and expenses, including management and performance fees, which could negatively affect returns and could expose the Fund to additional risk, including lack of control, as further described in the prospectus. </w:t>
      </w:r>
    </w:p>
    <w:p w14:paraId="307121D3" w14:textId="77777777" w:rsidR="00152D30" w:rsidRPr="00282BB3" w:rsidRDefault="00152D30" w:rsidP="00152D30">
      <w:pPr>
        <w:spacing w:after="0" w:line="240" w:lineRule="auto"/>
        <w:jc w:val="both"/>
        <w:rPr>
          <w:rFonts w:ascii="Arial" w:hAnsi="Arial" w:cs="Arial"/>
          <w:i/>
          <w:sz w:val="18"/>
          <w:szCs w:val="18"/>
        </w:rPr>
      </w:pPr>
    </w:p>
    <w:p w14:paraId="0D73527B" w14:textId="43074088" w:rsidR="00F62049" w:rsidRDefault="00F62049" w:rsidP="007859E1">
      <w:pPr>
        <w:spacing w:after="0" w:line="240" w:lineRule="auto"/>
        <w:jc w:val="both"/>
        <w:rPr>
          <w:rFonts w:ascii="Arial" w:hAnsi="Arial" w:cs="Arial"/>
          <w:sz w:val="18"/>
          <w:szCs w:val="18"/>
        </w:rPr>
      </w:pPr>
      <w:r w:rsidRPr="007859E1">
        <w:rPr>
          <w:rFonts w:ascii="Arial" w:hAnsi="Arial" w:cs="Arial"/>
          <w:sz w:val="18"/>
          <w:szCs w:val="18"/>
        </w:rPr>
        <w:t xml:space="preserve">The ability of the Fund to achieve its investment objective depends, in part, on the ability of the Advisor to allocate effectively the Fund’s assets across the various asset classes in which it invests and to select investments in each such asset class. There can be no assurance that the actual allocations will be effective in achieving the Fund’s investment objective or delivering positive returns. </w:t>
      </w:r>
    </w:p>
    <w:p w14:paraId="08437375" w14:textId="77777777" w:rsidR="007859E1" w:rsidRPr="007859E1" w:rsidRDefault="007859E1" w:rsidP="007859E1">
      <w:pPr>
        <w:spacing w:after="0" w:line="240" w:lineRule="auto"/>
        <w:jc w:val="both"/>
        <w:rPr>
          <w:rFonts w:ascii="Arial" w:hAnsi="Arial" w:cs="Arial"/>
          <w:sz w:val="18"/>
          <w:szCs w:val="18"/>
        </w:rPr>
      </w:pPr>
    </w:p>
    <w:p w14:paraId="1C2FFE38" w14:textId="4CC1E012" w:rsidR="00F62049" w:rsidRDefault="00F62049" w:rsidP="007859E1">
      <w:pPr>
        <w:spacing w:after="0" w:line="240" w:lineRule="auto"/>
        <w:jc w:val="both"/>
        <w:rPr>
          <w:rFonts w:ascii="Arial" w:hAnsi="Arial" w:cs="Arial"/>
          <w:sz w:val="18"/>
          <w:szCs w:val="18"/>
        </w:rPr>
      </w:pPr>
      <w:r w:rsidRPr="007859E1">
        <w:rPr>
          <w:rFonts w:ascii="Arial" w:hAnsi="Arial" w:cs="Arial"/>
          <w:sz w:val="18"/>
          <w:szCs w:val="18"/>
        </w:rPr>
        <w:t xml:space="preserve">Limited liquidity is provided to shareholders only through the Fund’s quarterly repurchase offers for no less than 5% of the Fund’s shares outstanding at net asset value. There is no guarantee that shareholders will be able to sell </w:t>
      </w:r>
      <w:proofErr w:type="gramStart"/>
      <w:r w:rsidRPr="007859E1">
        <w:rPr>
          <w:rFonts w:ascii="Arial" w:hAnsi="Arial" w:cs="Arial"/>
          <w:sz w:val="18"/>
          <w:szCs w:val="18"/>
        </w:rPr>
        <w:t>all of</w:t>
      </w:r>
      <w:proofErr w:type="gramEnd"/>
      <w:r w:rsidRPr="007859E1">
        <w:rPr>
          <w:rFonts w:ascii="Arial" w:hAnsi="Arial" w:cs="Arial"/>
          <w:sz w:val="18"/>
          <w:szCs w:val="18"/>
        </w:rPr>
        <w:t xml:space="preserve"> the shares they desire in a quarterly repurchase offer. Since inception, the Fund has made 36 repurchase offers, of which 31 have resulted in the repurchase of all shares tendered, four have resulted in the repurchase of less than all shares tendered, and one is pending. In connection with the November 2021 repurchase offer, the Fund repurchased all shares tendered for repurchase. Quarterly repurchases by the Fund of its shares typically will be funded from available cash or sales of portfolio securities. The sale of securities to fund repurchases could reduce the market price of those securities, which in turn would reduce the Fund’s net asset value. </w:t>
      </w:r>
    </w:p>
    <w:p w14:paraId="44BE039B" w14:textId="77777777" w:rsidR="007859E1" w:rsidRPr="007859E1" w:rsidRDefault="007859E1" w:rsidP="007859E1">
      <w:pPr>
        <w:spacing w:after="0" w:line="240" w:lineRule="auto"/>
        <w:jc w:val="both"/>
        <w:rPr>
          <w:rFonts w:ascii="Arial" w:hAnsi="Arial" w:cs="Arial"/>
          <w:sz w:val="18"/>
          <w:szCs w:val="18"/>
        </w:rPr>
      </w:pPr>
    </w:p>
    <w:p w14:paraId="78387365" w14:textId="77777777" w:rsidR="00F62049" w:rsidRPr="007859E1" w:rsidRDefault="00F62049" w:rsidP="007859E1">
      <w:pPr>
        <w:spacing w:after="0" w:line="240" w:lineRule="auto"/>
        <w:jc w:val="both"/>
        <w:rPr>
          <w:rFonts w:ascii="Arial" w:hAnsi="Arial" w:cs="Arial"/>
          <w:sz w:val="18"/>
          <w:szCs w:val="18"/>
        </w:rPr>
      </w:pPr>
      <w:r w:rsidRPr="007859E1">
        <w:rPr>
          <w:rFonts w:ascii="Arial" w:hAnsi="Arial" w:cs="Arial"/>
          <w:sz w:val="18"/>
          <w:szCs w:val="18"/>
        </w:rPr>
        <w:t xml:space="preserve">An investment in shares represents an indirect investment in the securities owned by the Fund. The value of these securities, like other market investments, may move up or down, sometimes rapidly and unpredictably. The Fund is “non-diversified” under the Investment Company Act of 1940 and therefore may invest more than 5% of its total assets in the securities of one or more issuers. As such, changes in the financial condition or market value of a single issuer may cause a greater fluctuation in the Fund’s net asset value than in a “diversified” fund. The Fund is not intended to be a complete investment program. </w:t>
      </w:r>
    </w:p>
    <w:p w14:paraId="28AFEDB8" w14:textId="53BA27E6" w:rsidR="00F62049" w:rsidRDefault="00F62049" w:rsidP="007859E1">
      <w:pPr>
        <w:spacing w:after="0" w:line="240" w:lineRule="auto"/>
        <w:jc w:val="both"/>
        <w:rPr>
          <w:rFonts w:ascii="Arial" w:hAnsi="Arial" w:cs="Arial"/>
          <w:sz w:val="18"/>
          <w:szCs w:val="18"/>
        </w:rPr>
      </w:pPr>
      <w:r w:rsidRPr="007859E1">
        <w:rPr>
          <w:rFonts w:ascii="Arial" w:hAnsi="Arial" w:cs="Arial"/>
          <w:sz w:val="18"/>
          <w:szCs w:val="18"/>
        </w:rPr>
        <w:t xml:space="preserve">The Fund is subject to the risk that geopolitical and other similar events will disrupt the economy on a national or global level. For instance, war, terrorism, market manipulation, government defaults, government shutdowns, political changes or diplomatic developments, public health emergencies (such as the spread of infectious diseases, </w:t>
      </w:r>
      <w:proofErr w:type="gramStart"/>
      <w:r w:rsidRPr="007859E1">
        <w:rPr>
          <w:rFonts w:ascii="Arial" w:hAnsi="Arial" w:cs="Arial"/>
          <w:sz w:val="18"/>
          <w:szCs w:val="18"/>
        </w:rPr>
        <w:t>pandemics</w:t>
      </w:r>
      <w:proofErr w:type="gramEnd"/>
      <w:r w:rsidRPr="007859E1">
        <w:rPr>
          <w:rFonts w:ascii="Arial" w:hAnsi="Arial" w:cs="Arial"/>
          <w:sz w:val="18"/>
          <w:szCs w:val="18"/>
        </w:rPr>
        <w:t xml:space="preserve"> and epidemics) and natural/environmental disasters can all negatively impact the securities markets. </w:t>
      </w:r>
    </w:p>
    <w:p w14:paraId="279991E6" w14:textId="77777777" w:rsidR="007859E1" w:rsidRPr="007859E1" w:rsidRDefault="007859E1" w:rsidP="007859E1">
      <w:pPr>
        <w:spacing w:after="0" w:line="240" w:lineRule="auto"/>
        <w:jc w:val="both"/>
        <w:rPr>
          <w:rFonts w:ascii="Arial" w:hAnsi="Arial" w:cs="Arial"/>
          <w:sz w:val="18"/>
          <w:szCs w:val="18"/>
        </w:rPr>
      </w:pPr>
    </w:p>
    <w:p w14:paraId="003F616C" w14:textId="631D82E9" w:rsidR="00F62049" w:rsidRDefault="00F62049" w:rsidP="007859E1">
      <w:pPr>
        <w:spacing w:after="0" w:line="240" w:lineRule="auto"/>
        <w:jc w:val="both"/>
        <w:rPr>
          <w:rFonts w:ascii="Arial" w:hAnsi="Arial" w:cs="Arial"/>
          <w:sz w:val="18"/>
          <w:szCs w:val="18"/>
        </w:rPr>
      </w:pPr>
      <w:r w:rsidRPr="007859E1">
        <w:rPr>
          <w:rFonts w:ascii="Arial" w:hAnsi="Arial" w:cs="Arial"/>
          <w:sz w:val="18"/>
          <w:szCs w:val="18"/>
        </w:rPr>
        <w:t xml:space="preserve">The current novel coronavirus (COVID-19) global pandemic and the aggressive responses taken by many governments, including closing borders, restricting international and domestic travel, and the imposition of prolonged quarantines or similar restrictions, as well as the forced or voluntary closure of, or operational changes to, many retail and other businesses, have had negative impacts, and in many cases severe negative impacts, on markets worldwide. Potential impacts on the real estate market may include lower occupancy rates, decreased lease payments, defaults and foreclosures, among other consequences. It is not known how long such impacts, or any future impacts of other significant events described above, will or would last, but there could be a prolonged period of global economic slowdown. </w:t>
      </w:r>
    </w:p>
    <w:p w14:paraId="7E340A3E" w14:textId="77777777" w:rsidR="007859E1" w:rsidRPr="007859E1" w:rsidRDefault="007859E1" w:rsidP="007859E1">
      <w:pPr>
        <w:spacing w:after="0" w:line="240" w:lineRule="auto"/>
        <w:jc w:val="both"/>
        <w:rPr>
          <w:rFonts w:ascii="Arial" w:hAnsi="Arial" w:cs="Arial"/>
          <w:sz w:val="18"/>
          <w:szCs w:val="18"/>
        </w:rPr>
      </w:pPr>
    </w:p>
    <w:p w14:paraId="1A891AD8" w14:textId="0D1E1F0F" w:rsidR="00F62049" w:rsidRDefault="00F62049" w:rsidP="007859E1">
      <w:pPr>
        <w:spacing w:after="0" w:line="240" w:lineRule="auto"/>
        <w:jc w:val="both"/>
        <w:rPr>
          <w:rFonts w:ascii="Arial" w:hAnsi="Arial" w:cs="Arial"/>
          <w:sz w:val="18"/>
          <w:szCs w:val="18"/>
        </w:rPr>
      </w:pPr>
      <w:r w:rsidRPr="007859E1">
        <w:rPr>
          <w:rFonts w:ascii="Arial" w:hAnsi="Arial" w:cs="Arial"/>
          <w:sz w:val="18"/>
          <w:szCs w:val="18"/>
        </w:rPr>
        <w:t xml:space="preserve">The Fund will concentrate its investments in real estate industry securities. The value of the Fund’s shares will be affected by factors affecting the value of real estate and the earnings of companies engaged in the real estate industry. These factors include, among others: (i) changes in general economic and market conditions; (ii)changes in the value of real estate properties; (iii) risks related to local economic conditions, overbuilding and increased competition; (iv) increases in property taxes and operating expenses; (v) changes in zoning laws; (vi)casualty and condemnation losses; (vii) variations in rental income, neighborhood values or the appeal of property to tenants; (viii) the availability of financing; (ix) climate change; and (x) changes in interest rates. Many real estate companies utilize leverage, which increases investment risk and could adversely affect a company’s operations and market value in periods of rising interest rates. The value of securities of companies in the real estate industry may go through cycles of relative under-performance and over-performance in comparison to equity securities markets in general. </w:t>
      </w:r>
    </w:p>
    <w:p w14:paraId="579A400A" w14:textId="77777777" w:rsidR="007859E1" w:rsidRPr="007859E1" w:rsidRDefault="007859E1" w:rsidP="007859E1">
      <w:pPr>
        <w:spacing w:after="0" w:line="240" w:lineRule="auto"/>
        <w:jc w:val="both"/>
        <w:rPr>
          <w:rFonts w:ascii="Arial" w:hAnsi="Arial" w:cs="Arial"/>
          <w:sz w:val="18"/>
          <w:szCs w:val="18"/>
        </w:rPr>
      </w:pPr>
    </w:p>
    <w:p w14:paraId="18D78333" w14:textId="574A936C" w:rsidR="00F62049" w:rsidRDefault="00F62049" w:rsidP="007859E1">
      <w:pPr>
        <w:spacing w:after="0" w:line="240" w:lineRule="auto"/>
        <w:jc w:val="both"/>
        <w:rPr>
          <w:rFonts w:ascii="Arial" w:hAnsi="Arial" w:cs="Arial"/>
          <w:sz w:val="18"/>
          <w:szCs w:val="18"/>
        </w:rPr>
      </w:pPr>
      <w:r w:rsidRPr="007859E1">
        <w:rPr>
          <w:rFonts w:ascii="Arial" w:hAnsi="Arial" w:cs="Arial"/>
          <w:sz w:val="18"/>
          <w:szCs w:val="18"/>
        </w:rPr>
        <w:t xml:space="preserve">A significant portion of the Fund’s underlying investments are in private real estate investment funds managed by institutional investment managers (“Institutional Investment Funds”). Investments in Institutional Investment Funds pose specific risks, including: such investments require the Fund to bear a pro rata share of the vehicles’ expenses, including management and performance fees; the Advisor and Sub-Advisor will have no control over investment decisions may by such vehicle; such vehicle may utilize financial leverage; such investments have limited liquidity; the valuation of such investment as of a specific date may vary from the actual sale price that may be obtained if such investment were sold to a third party. </w:t>
      </w:r>
    </w:p>
    <w:p w14:paraId="63067936" w14:textId="77777777" w:rsidR="007859E1" w:rsidRPr="007859E1" w:rsidRDefault="007859E1" w:rsidP="007859E1">
      <w:pPr>
        <w:spacing w:after="0" w:line="240" w:lineRule="auto"/>
        <w:jc w:val="both"/>
        <w:rPr>
          <w:rFonts w:ascii="Arial" w:hAnsi="Arial" w:cs="Arial"/>
          <w:sz w:val="18"/>
          <w:szCs w:val="18"/>
        </w:rPr>
      </w:pPr>
    </w:p>
    <w:p w14:paraId="1ED0FC40" w14:textId="70EDA29E" w:rsidR="00F62049" w:rsidRDefault="00F62049" w:rsidP="007859E1">
      <w:pPr>
        <w:spacing w:after="0" w:line="240" w:lineRule="auto"/>
        <w:jc w:val="both"/>
        <w:rPr>
          <w:rFonts w:ascii="Arial" w:hAnsi="Arial" w:cs="Arial"/>
          <w:sz w:val="18"/>
          <w:szCs w:val="18"/>
        </w:rPr>
      </w:pPr>
      <w:r w:rsidRPr="007859E1">
        <w:rPr>
          <w:rFonts w:ascii="Arial" w:hAnsi="Arial" w:cs="Arial"/>
          <w:sz w:val="18"/>
          <w:szCs w:val="18"/>
        </w:rPr>
        <w:t xml:space="preserve">Additional risks related to an investment in the Fund are set forth in the “Risk Factors” section of the prospectus, which include, but are not limited to the following: convertible securities risk; correlation risk; credit risk; fixed income risk; leverage risk; risk of competition between underlying funds; and preferred securities risk. </w:t>
      </w:r>
    </w:p>
    <w:p w14:paraId="67847CBC" w14:textId="77777777" w:rsidR="007859E1" w:rsidRPr="007859E1" w:rsidRDefault="007859E1" w:rsidP="007859E1">
      <w:pPr>
        <w:spacing w:after="0" w:line="240" w:lineRule="auto"/>
        <w:jc w:val="both"/>
        <w:rPr>
          <w:rFonts w:ascii="Arial" w:hAnsi="Arial" w:cs="Arial"/>
          <w:sz w:val="18"/>
          <w:szCs w:val="18"/>
        </w:rPr>
      </w:pPr>
    </w:p>
    <w:p w14:paraId="68D92A66" w14:textId="77777777" w:rsidR="007B037B" w:rsidRDefault="00F62049" w:rsidP="007859E1">
      <w:pPr>
        <w:spacing w:after="0" w:line="240" w:lineRule="auto"/>
        <w:jc w:val="both"/>
        <w:rPr>
          <w:rFonts w:ascii="Arial" w:hAnsi="Arial" w:cs="Arial"/>
          <w:sz w:val="18"/>
          <w:szCs w:val="18"/>
        </w:rPr>
      </w:pPr>
      <w:r w:rsidRPr="007B037B">
        <w:rPr>
          <w:rFonts w:ascii="Arial" w:hAnsi="Arial" w:cs="Arial"/>
          <w:b/>
          <w:bCs/>
          <w:sz w:val="18"/>
          <w:szCs w:val="18"/>
        </w:rPr>
        <w:t xml:space="preserve">Investors should carefully consider the investment objectives, risks, </w:t>
      </w:r>
      <w:proofErr w:type="gramStart"/>
      <w:r w:rsidRPr="007B037B">
        <w:rPr>
          <w:rFonts w:ascii="Arial" w:hAnsi="Arial" w:cs="Arial"/>
          <w:b/>
          <w:bCs/>
          <w:sz w:val="18"/>
          <w:szCs w:val="18"/>
        </w:rPr>
        <w:t>charges</w:t>
      </w:r>
      <w:proofErr w:type="gramEnd"/>
      <w:r w:rsidRPr="007B037B">
        <w:rPr>
          <w:rFonts w:ascii="Arial" w:hAnsi="Arial" w:cs="Arial"/>
          <w:b/>
          <w:bCs/>
          <w:sz w:val="18"/>
          <w:szCs w:val="18"/>
        </w:rPr>
        <w:t xml:space="preserve"> and expenses of the Bluerock Total Income+ Real Estate Fund. This and other important information about the Fund </w:t>
      </w:r>
      <w:proofErr w:type="gramStart"/>
      <w:r w:rsidRPr="007B037B">
        <w:rPr>
          <w:rFonts w:ascii="Arial" w:hAnsi="Arial" w:cs="Arial"/>
          <w:b/>
          <w:bCs/>
          <w:sz w:val="18"/>
          <w:szCs w:val="18"/>
        </w:rPr>
        <w:t>is</w:t>
      </w:r>
      <w:proofErr w:type="gramEnd"/>
      <w:r w:rsidRPr="007B037B">
        <w:rPr>
          <w:rFonts w:ascii="Arial" w:hAnsi="Arial" w:cs="Arial"/>
          <w:b/>
          <w:bCs/>
          <w:sz w:val="18"/>
          <w:szCs w:val="18"/>
        </w:rPr>
        <w:t xml:space="preserve"> contained in the prospectus, which can be obtained online at bluerockfunds.com. The prospectus should be read carefully before investing.</w:t>
      </w:r>
    </w:p>
    <w:p w14:paraId="1F44E7DD" w14:textId="77777777" w:rsidR="007B037B" w:rsidRDefault="007B037B" w:rsidP="007859E1">
      <w:pPr>
        <w:spacing w:after="0" w:line="240" w:lineRule="auto"/>
        <w:jc w:val="both"/>
        <w:rPr>
          <w:rFonts w:ascii="Arial" w:hAnsi="Arial" w:cs="Arial"/>
          <w:sz w:val="18"/>
          <w:szCs w:val="18"/>
        </w:rPr>
      </w:pPr>
    </w:p>
    <w:p w14:paraId="50379DBE" w14:textId="6E3C6D95" w:rsidR="00F62049" w:rsidRPr="007859E1" w:rsidRDefault="00F62049" w:rsidP="007859E1">
      <w:pPr>
        <w:spacing w:after="0" w:line="240" w:lineRule="auto"/>
        <w:jc w:val="both"/>
        <w:rPr>
          <w:rFonts w:ascii="Arial" w:hAnsi="Arial" w:cs="Arial"/>
          <w:sz w:val="18"/>
          <w:szCs w:val="18"/>
        </w:rPr>
      </w:pPr>
      <w:r w:rsidRPr="007859E1">
        <w:rPr>
          <w:rFonts w:ascii="Arial" w:hAnsi="Arial" w:cs="Arial"/>
          <w:sz w:val="18"/>
          <w:szCs w:val="18"/>
        </w:rPr>
        <w:t xml:space="preserve">The Bluerock Total Income+ Real Estate Fund is distributed by ALPS Distributors, Inc (ALPS). Bluerock Fund Advisor, LLC is not affiliated with ALPS. </w:t>
      </w:r>
    </w:p>
    <w:p w14:paraId="5505CBF9" w14:textId="77777777" w:rsidR="00F62049" w:rsidRPr="007859E1" w:rsidRDefault="00F62049" w:rsidP="00F62049">
      <w:pPr>
        <w:spacing w:after="0" w:line="240" w:lineRule="auto"/>
        <w:jc w:val="both"/>
        <w:rPr>
          <w:rStyle w:val="A2"/>
          <w:sz w:val="18"/>
          <w:szCs w:val="18"/>
        </w:rPr>
      </w:pPr>
    </w:p>
    <w:p w14:paraId="57583371" w14:textId="77777777" w:rsidR="00282BB3" w:rsidRPr="00282BB3" w:rsidRDefault="00282BB3" w:rsidP="00E465C5">
      <w:pPr>
        <w:spacing w:after="0" w:line="240" w:lineRule="auto"/>
        <w:jc w:val="both"/>
        <w:rPr>
          <w:rFonts w:ascii="Arial" w:eastAsia="Cambria" w:hAnsi="Arial" w:cs="Arial"/>
          <w:bCs/>
          <w:sz w:val="18"/>
          <w:szCs w:val="18"/>
          <w:u w:val="single"/>
        </w:rPr>
      </w:pPr>
      <w:r w:rsidRPr="00282BB3">
        <w:rPr>
          <w:rFonts w:ascii="Arial" w:eastAsia="Cambria" w:hAnsi="Arial" w:cs="Arial"/>
          <w:bCs/>
          <w:sz w:val="18"/>
          <w:szCs w:val="18"/>
          <w:u w:val="single"/>
        </w:rPr>
        <w:t>Definitions</w:t>
      </w:r>
    </w:p>
    <w:p w14:paraId="6DBA4852" w14:textId="77777777" w:rsidR="00282BB3" w:rsidRPr="00282BB3" w:rsidRDefault="00282BB3" w:rsidP="00E465C5">
      <w:pPr>
        <w:spacing w:after="0" w:line="240" w:lineRule="auto"/>
        <w:jc w:val="both"/>
        <w:rPr>
          <w:rFonts w:ascii="Arial" w:eastAsia="Cambria" w:hAnsi="Arial" w:cs="Arial"/>
          <w:sz w:val="18"/>
          <w:szCs w:val="18"/>
        </w:rPr>
      </w:pPr>
    </w:p>
    <w:p w14:paraId="1E755C90" w14:textId="77777777" w:rsidR="00282BB3" w:rsidRPr="00282BB3" w:rsidRDefault="00282BB3" w:rsidP="00E465C5">
      <w:pPr>
        <w:spacing w:after="0" w:line="240" w:lineRule="auto"/>
        <w:jc w:val="both"/>
        <w:rPr>
          <w:rFonts w:ascii="Arial" w:eastAsia="Cambria" w:hAnsi="Arial" w:cs="Arial"/>
          <w:sz w:val="18"/>
          <w:szCs w:val="18"/>
        </w:rPr>
      </w:pPr>
      <w:r w:rsidRPr="00282BB3">
        <w:rPr>
          <w:rFonts w:ascii="Arial" w:eastAsia="Cambria" w:hAnsi="Arial" w:cs="Arial"/>
          <w:sz w:val="18"/>
          <w:szCs w:val="18"/>
        </w:rPr>
        <w:t xml:space="preserve">A </w:t>
      </w:r>
      <w:r w:rsidRPr="00282BB3">
        <w:rPr>
          <w:rFonts w:ascii="Arial" w:eastAsia="Cambria" w:hAnsi="Arial" w:cs="Arial"/>
          <w:b/>
          <w:bCs/>
          <w:sz w:val="18"/>
          <w:szCs w:val="18"/>
        </w:rPr>
        <w:t>basis point</w:t>
      </w:r>
      <w:r w:rsidRPr="00282BB3">
        <w:rPr>
          <w:rFonts w:ascii="Arial" w:eastAsia="Cambria" w:hAnsi="Arial" w:cs="Arial"/>
          <w:sz w:val="18"/>
          <w:szCs w:val="18"/>
        </w:rPr>
        <w:t xml:space="preserve"> is a measurement with one basis point equal to 1/100</w:t>
      </w:r>
      <w:r w:rsidRPr="00B034F9">
        <w:rPr>
          <w:rFonts w:ascii="Arial" w:eastAsia="Cambria" w:hAnsi="Arial" w:cs="Arial"/>
          <w:sz w:val="18"/>
          <w:szCs w:val="18"/>
          <w:vertAlign w:val="superscript"/>
        </w:rPr>
        <w:t>th</w:t>
      </w:r>
      <w:r w:rsidRPr="00282BB3">
        <w:rPr>
          <w:rFonts w:ascii="Arial" w:eastAsia="Cambria" w:hAnsi="Arial" w:cs="Arial"/>
          <w:sz w:val="18"/>
          <w:szCs w:val="18"/>
        </w:rPr>
        <w:t xml:space="preserve"> of 1%.</w:t>
      </w:r>
    </w:p>
    <w:p w14:paraId="176CD403" w14:textId="77777777" w:rsidR="00282BB3" w:rsidRPr="00282BB3" w:rsidRDefault="00282BB3" w:rsidP="00E465C5">
      <w:pPr>
        <w:spacing w:after="0" w:line="240" w:lineRule="auto"/>
        <w:jc w:val="both"/>
        <w:rPr>
          <w:rFonts w:ascii="Arial" w:eastAsia="Cambria" w:hAnsi="Arial" w:cs="Arial"/>
          <w:sz w:val="18"/>
          <w:szCs w:val="18"/>
        </w:rPr>
      </w:pPr>
    </w:p>
    <w:p w14:paraId="450E2672" w14:textId="77777777" w:rsidR="00282BB3" w:rsidRPr="00282BB3" w:rsidRDefault="00282BB3" w:rsidP="00E465C5">
      <w:pPr>
        <w:shd w:val="clear" w:color="auto" w:fill="FFFFFF"/>
        <w:spacing w:after="0" w:line="240" w:lineRule="auto"/>
        <w:jc w:val="both"/>
        <w:rPr>
          <w:rFonts w:ascii="Arial" w:eastAsia="Times New Roman" w:hAnsi="Arial" w:cs="Arial"/>
          <w:color w:val="000000"/>
          <w:sz w:val="18"/>
          <w:szCs w:val="18"/>
        </w:rPr>
      </w:pPr>
      <w:r w:rsidRPr="00282BB3">
        <w:rPr>
          <w:rFonts w:ascii="Arial" w:eastAsia="Times New Roman" w:hAnsi="Arial" w:cs="Arial"/>
          <w:color w:val="000000"/>
          <w:sz w:val="18"/>
          <w:szCs w:val="18"/>
        </w:rPr>
        <w:t xml:space="preserve">An </w:t>
      </w:r>
      <w:r w:rsidRPr="00282BB3">
        <w:rPr>
          <w:rFonts w:ascii="Arial" w:eastAsia="Times New Roman" w:hAnsi="Arial" w:cs="Arial"/>
          <w:b/>
          <w:bCs/>
          <w:color w:val="000000"/>
          <w:sz w:val="18"/>
          <w:szCs w:val="18"/>
        </w:rPr>
        <w:t>open-end fund</w:t>
      </w:r>
      <w:r w:rsidRPr="00282BB3">
        <w:rPr>
          <w:rFonts w:ascii="Arial" w:eastAsia="Times New Roman" w:hAnsi="Arial" w:cs="Arial"/>
          <w:color w:val="000000"/>
          <w:sz w:val="18"/>
          <w:szCs w:val="18"/>
        </w:rPr>
        <w:t xml:space="preserve"> is a type of mutual fund that does not have restrictions on the amount of shares the fund can issue. The majority of mutual funds are open-end, providing investors with a useful and convenient investing vehicle. Shares are bought and sold on demand at their net asset value (NAV), which is based on the value of the fund’s underlying securities and is calculated at the end of the trading day.</w:t>
      </w:r>
    </w:p>
    <w:p w14:paraId="4AE5B576" w14:textId="77777777" w:rsidR="00282BB3" w:rsidRPr="00282BB3" w:rsidRDefault="00282BB3" w:rsidP="00E465C5">
      <w:pPr>
        <w:shd w:val="clear" w:color="auto" w:fill="FFFFFF"/>
        <w:spacing w:after="0" w:line="240" w:lineRule="auto"/>
        <w:jc w:val="both"/>
        <w:rPr>
          <w:rFonts w:ascii="Arial" w:eastAsia="Times New Roman" w:hAnsi="Arial" w:cs="Arial"/>
          <w:color w:val="000000"/>
          <w:sz w:val="18"/>
          <w:szCs w:val="18"/>
        </w:rPr>
      </w:pPr>
    </w:p>
    <w:p w14:paraId="696F45BC" w14:textId="292B2A86" w:rsidR="00282BB3" w:rsidRDefault="00282BB3" w:rsidP="00E465C5">
      <w:pPr>
        <w:autoSpaceDE w:val="0"/>
        <w:autoSpaceDN w:val="0"/>
        <w:adjustRightInd w:val="0"/>
        <w:spacing w:after="0" w:line="240" w:lineRule="auto"/>
        <w:jc w:val="both"/>
        <w:rPr>
          <w:rFonts w:ascii="Arial" w:eastAsia="Times New Roman" w:hAnsi="Arial" w:cs="Arial"/>
          <w:color w:val="000000"/>
          <w:sz w:val="18"/>
          <w:szCs w:val="18"/>
        </w:rPr>
      </w:pPr>
      <w:r w:rsidRPr="00282BB3">
        <w:rPr>
          <w:rFonts w:ascii="Arial" w:eastAsia="Times New Roman" w:hAnsi="Arial" w:cs="Arial"/>
          <w:color w:val="000000"/>
          <w:sz w:val="18"/>
          <w:szCs w:val="18"/>
        </w:rPr>
        <w:t xml:space="preserve">A </w:t>
      </w:r>
      <w:r w:rsidRPr="00282BB3">
        <w:rPr>
          <w:rFonts w:ascii="Arial" w:eastAsia="Times New Roman" w:hAnsi="Arial" w:cs="Arial"/>
          <w:b/>
          <w:bCs/>
          <w:color w:val="000000"/>
          <w:sz w:val="18"/>
          <w:szCs w:val="18"/>
        </w:rPr>
        <w:t>closed-end fund</w:t>
      </w:r>
      <w:r w:rsidRPr="00282BB3">
        <w:rPr>
          <w:rFonts w:ascii="Arial" w:eastAsia="Times New Roman" w:hAnsi="Arial" w:cs="Arial"/>
          <w:color w:val="000000"/>
          <w:sz w:val="18"/>
          <w:szCs w:val="18"/>
        </w:rPr>
        <w:t xml:space="preserve"> is organized as a publicly traded investment company by the Securities and Exchange Commission (SEC). Like a mutual fund, a closed-end fund is a pooled investment fund with a manager overseeing the portfolio; it raises a fixed amount of capital through an initial public offering (IPO). The fund is then structured, listed and traded like a stock on a stock exchange. Unlike open-end funds, closed-end funds trade just like stocks. While open-end funds are priced only once at the end of the day, closed-end funds are traded and priced throughout the day.</w:t>
      </w:r>
    </w:p>
    <w:p w14:paraId="780B2427" w14:textId="5FB0D31E" w:rsidR="0095563D" w:rsidRDefault="0095563D" w:rsidP="00E465C5">
      <w:pPr>
        <w:autoSpaceDE w:val="0"/>
        <w:autoSpaceDN w:val="0"/>
        <w:adjustRightInd w:val="0"/>
        <w:spacing w:after="0" w:line="240" w:lineRule="auto"/>
        <w:jc w:val="both"/>
        <w:rPr>
          <w:rFonts w:ascii="Arial" w:eastAsia="Times New Roman" w:hAnsi="Arial" w:cs="Arial"/>
          <w:color w:val="000000"/>
          <w:sz w:val="18"/>
          <w:szCs w:val="18"/>
        </w:rPr>
      </w:pPr>
    </w:p>
    <w:p w14:paraId="4C44F18D" w14:textId="77777777" w:rsidR="0095563D" w:rsidRPr="0095563D" w:rsidRDefault="0095563D" w:rsidP="0095563D">
      <w:pPr>
        <w:autoSpaceDE w:val="0"/>
        <w:autoSpaceDN w:val="0"/>
        <w:adjustRightInd w:val="0"/>
        <w:spacing w:after="0" w:line="240" w:lineRule="auto"/>
        <w:rPr>
          <w:rFonts w:ascii="Arial" w:eastAsia="Times New Roman" w:hAnsi="Arial" w:cs="Arial"/>
          <w:color w:val="000000"/>
          <w:sz w:val="18"/>
          <w:szCs w:val="18"/>
        </w:rPr>
      </w:pPr>
      <w:r w:rsidRPr="0095563D">
        <w:rPr>
          <w:rFonts w:ascii="Arial" w:eastAsia="Times New Roman" w:hAnsi="Arial" w:cs="Arial"/>
          <w:color w:val="000000"/>
          <w:sz w:val="18"/>
          <w:szCs w:val="18"/>
        </w:rPr>
        <w:t xml:space="preserve">An </w:t>
      </w:r>
      <w:r w:rsidRPr="0095563D">
        <w:rPr>
          <w:rFonts w:ascii="Arial" w:eastAsia="Times New Roman" w:hAnsi="Arial" w:cs="Arial"/>
          <w:b/>
          <w:bCs/>
          <w:color w:val="000000"/>
          <w:sz w:val="18"/>
          <w:szCs w:val="18"/>
        </w:rPr>
        <w:t>ETF</w:t>
      </w:r>
      <w:r w:rsidRPr="0095563D">
        <w:rPr>
          <w:rFonts w:ascii="Arial" w:eastAsia="Times New Roman" w:hAnsi="Arial" w:cs="Arial"/>
          <w:color w:val="000000"/>
          <w:sz w:val="18"/>
          <w:szCs w:val="18"/>
        </w:rPr>
        <w:t>, or exchange-traded fund, is a marketable security that tracks a stock index, a commodity, bonds, or a basket of assets. Although similar in many ways, ETFs differ from mutual funds because shares trade like common stock on an exchange. The price of an ETF’s shares will change throughout the day as they are bought and sold.</w:t>
      </w:r>
    </w:p>
    <w:p w14:paraId="6CD31D47" w14:textId="77777777" w:rsidR="00282BB3" w:rsidRPr="00282BB3" w:rsidRDefault="00282BB3" w:rsidP="00E465C5">
      <w:pPr>
        <w:autoSpaceDE w:val="0"/>
        <w:autoSpaceDN w:val="0"/>
        <w:adjustRightInd w:val="0"/>
        <w:spacing w:after="0" w:line="240" w:lineRule="auto"/>
        <w:jc w:val="both"/>
        <w:rPr>
          <w:rFonts w:ascii="Arial" w:eastAsia="Times New Roman" w:hAnsi="Arial" w:cs="Arial"/>
          <w:color w:val="000000"/>
          <w:sz w:val="18"/>
          <w:szCs w:val="18"/>
        </w:rPr>
      </w:pPr>
    </w:p>
    <w:p w14:paraId="24AAB7FD" w14:textId="1CB8464C" w:rsidR="00282BB3" w:rsidRDefault="00282BB3" w:rsidP="00E465C5">
      <w:pPr>
        <w:spacing w:after="0" w:line="240" w:lineRule="auto"/>
        <w:jc w:val="both"/>
        <w:rPr>
          <w:rFonts w:ascii="Arial" w:eastAsia="Times New Roman" w:hAnsi="Arial" w:cs="Arial"/>
          <w:color w:val="000000"/>
          <w:sz w:val="18"/>
          <w:szCs w:val="18"/>
        </w:rPr>
      </w:pPr>
      <w:r w:rsidRPr="00282BB3">
        <w:rPr>
          <w:rFonts w:ascii="Arial" w:eastAsia="Times New Roman" w:hAnsi="Arial" w:cs="Arial"/>
          <w:b/>
          <w:bCs/>
          <w:color w:val="000000"/>
          <w:sz w:val="18"/>
          <w:szCs w:val="18"/>
        </w:rPr>
        <w:t>Sharpe Ratio:</w:t>
      </w:r>
      <w:r w:rsidRPr="00282BB3">
        <w:rPr>
          <w:rFonts w:ascii="Arial" w:eastAsia="Times New Roman" w:hAnsi="Arial" w:cs="Arial"/>
          <w:color w:val="000000"/>
          <w:sz w:val="18"/>
          <w:szCs w:val="18"/>
        </w:rPr>
        <w:t> Measurement of the risk-adjusted performance calculated by subtracting the annualized risk-free rate (3-month Treasury Bill) from the annualized rate of return for a portfolio and dividing the result by the annualized standard deviation of the portfolio returns.</w:t>
      </w:r>
    </w:p>
    <w:p w14:paraId="646D96B1" w14:textId="5536496A" w:rsidR="004D79B8" w:rsidRDefault="004D79B8" w:rsidP="00E465C5">
      <w:pPr>
        <w:spacing w:after="0" w:line="240" w:lineRule="auto"/>
        <w:jc w:val="both"/>
        <w:rPr>
          <w:rFonts w:ascii="Arial" w:eastAsia="Times New Roman" w:hAnsi="Arial" w:cs="Arial"/>
          <w:color w:val="000000"/>
          <w:sz w:val="18"/>
          <w:szCs w:val="18"/>
        </w:rPr>
      </w:pPr>
    </w:p>
    <w:p w14:paraId="1EAB537B" w14:textId="74B7EAEA" w:rsidR="004D79B8" w:rsidRPr="0090435D" w:rsidRDefault="004D79B8" w:rsidP="00E465C5">
      <w:pPr>
        <w:spacing w:after="0" w:line="240" w:lineRule="auto"/>
        <w:jc w:val="both"/>
        <w:rPr>
          <w:rFonts w:ascii="Arial" w:eastAsia="Times New Roman" w:hAnsi="Arial" w:cs="Arial"/>
          <w:sz w:val="18"/>
          <w:szCs w:val="18"/>
        </w:rPr>
      </w:pPr>
      <w:bookmarkStart w:id="0" w:name="_Hlk94006948"/>
      <w:proofErr w:type="spellStart"/>
      <w:r w:rsidRPr="000812AB">
        <w:rPr>
          <w:rFonts w:ascii="Arial" w:eastAsia="Times New Roman" w:hAnsi="Arial" w:cs="Arial"/>
          <w:b/>
          <w:bCs/>
          <w:color w:val="000000"/>
          <w:sz w:val="18"/>
          <w:szCs w:val="18"/>
        </w:rPr>
        <w:t>Sor</w:t>
      </w:r>
      <w:r w:rsidR="00C9080C">
        <w:rPr>
          <w:rFonts w:ascii="Arial" w:eastAsia="Times New Roman" w:hAnsi="Arial" w:cs="Arial"/>
          <w:b/>
          <w:bCs/>
          <w:color w:val="000000"/>
          <w:sz w:val="18"/>
          <w:szCs w:val="18"/>
        </w:rPr>
        <w:t>t</w:t>
      </w:r>
      <w:r w:rsidRPr="000812AB">
        <w:rPr>
          <w:rFonts w:ascii="Arial" w:eastAsia="Times New Roman" w:hAnsi="Arial" w:cs="Arial"/>
          <w:b/>
          <w:bCs/>
          <w:color w:val="000000"/>
          <w:sz w:val="18"/>
          <w:szCs w:val="18"/>
        </w:rPr>
        <w:t>ino</w:t>
      </w:r>
      <w:proofErr w:type="spellEnd"/>
      <w:r w:rsidRPr="000812AB">
        <w:rPr>
          <w:rFonts w:ascii="Arial" w:eastAsia="Times New Roman" w:hAnsi="Arial" w:cs="Arial"/>
          <w:b/>
          <w:bCs/>
          <w:color w:val="000000"/>
          <w:sz w:val="18"/>
          <w:szCs w:val="18"/>
        </w:rPr>
        <w:t xml:space="preserve"> Ratio: </w:t>
      </w:r>
      <w:r w:rsidR="008C1632" w:rsidRPr="008C1632">
        <w:rPr>
          <w:rFonts w:ascii="Arial" w:eastAsia="Times New Roman" w:hAnsi="Arial" w:cs="Arial"/>
          <w:color w:val="000000"/>
          <w:sz w:val="18"/>
          <w:szCs w:val="18"/>
        </w:rPr>
        <w:t>Measurement of risk-adjusted performance and a modification of the Sharpe ratio</w:t>
      </w:r>
      <w:r w:rsidR="000F4E03">
        <w:rPr>
          <w:rFonts w:ascii="Arial" w:eastAsia="Times New Roman" w:hAnsi="Arial" w:cs="Arial"/>
          <w:color w:val="000000"/>
          <w:sz w:val="18"/>
          <w:szCs w:val="18"/>
        </w:rPr>
        <w:t xml:space="preserve"> to </w:t>
      </w:r>
      <w:r w:rsidR="000F4E03" w:rsidRPr="000F4E03">
        <w:rPr>
          <w:rFonts w:ascii="Arial" w:eastAsia="Times New Roman" w:hAnsi="Arial" w:cs="Arial"/>
          <w:color w:val="000000"/>
          <w:sz w:val="18"/>
          <w:szCs w:val="18"/>
        </w:rPr>
        <w:t>measure the return to "bad" volatility</w:t>
      </w:r>
      <w:r w:rsidR="000F4E03" w:rsidRPr="000F4E03">
        <w:t xml:space="preserve"> </w:t>
      </w:r>
      <w:r w:rsidR="000F4E03" w:rsidRPr="000F4E03">
        <w:rPr>
          <w:rFonts w:ascii="Arial" w:eastAsia="Times New Roman" w:hAnsi="Arial" w:cs="Arial"/>
          <w:color w:val="000000"/>
          <w:sz w:val="18"/>
          <w:szCs w:val="18"/>
        </w:rPr>
        <w:t>(</w:t>
      </w:r>
      <w:r w:rsidR="000F4E03">
        <w:rPr>
          <w:rFonts w:ascii="Arial" w:eastAsia="Times New Roman" w:hAnsi="Arial" w:cs="Arial"/>
          <w:color w:val="000000"/>
          <w:sz w:val="18"/>
          <w:szCs w:val="18"/>
        </w:rPr>
        <w:t>i.e., v</w:t>
      </w:r>
      <w:r w:rsidR="000F4E03" w:rsidRPr="000F4E03">
        <w:rPr>
          <w:rFonts w:ascii="Arial" w:eastAsia="Times New Roman" w:hAnsi="Arial" w:cs="Arial"/>
          <w:color w:val="000000"/>
          <w:sz w:val="18"/>
          <w:szCs w:val="18"/>
        </w:rPr>
        <w:t>olatility caused by negative returns considered bad or undesirable by an investor)</w:t>
      </w:r>
      <w:r w:rsidR="000F4E03">
        <w:rPr>
          <w:rFonts w:ascii="Arial" w:eastAsia="Times New Roman" w:hAnsi="Arial" w:cs="Arial"/>
          <w:color w:val="000000"/>
          <w:sz w:val="18"/>
          <w:szCs w:val="18"/>
        </w:rPr>
        <w:t xml:space="preserve">, calculated as the </w:t>
      </w:r>
      <w:r w:rsidR="000F4E03" w:rsidRPr="000F4E03">
        <w:rPr>
          <w:rFonts w:ascii="Arial" w:eastAsia="Times New Roman" w:hAnsi="Arial" w:cs="Arial"/>
          <w:color w:val="000000"/>
          <w:sz w:val="18"/>
          <w:szCs w:val="18"/>
        </w:rPr>
        <w:t>excess return over the risk-free rate divided by the downside semi-variance</w:t>
      </w:r>
      <w:r w:rsidR="008C1632" w:rsidRPr="008C1632">
        <w:rPr>
          <w:rFonts w:ascii="Arial" w:eastAsia="Times New Roman" w:hAnsi="Arial" w:cs="Arial"/>
          <w:color w:val="000000"/>
          <w:sz w:val="18"/>
          <w:szCs w:val="18"/>
        </w:rPr>
        <w:t>.</w:t>
      </w:r>
    </w:p>
    <w:bookmarkEnd w:id="0"/>
    <w:p w14:paraId="44612367" w14:textId="77777777" w:rsidR="00282BB3" w:rsidRPr="00282BB3" w:rsidRDefault="00282BB3" w:rsidP="00E465C5">
      <w:pPr>
        <w:spacing w:after="0" w:line="240" w:lineRule="auto"/>
        <w:jc w:val="both"/>
        <w:rPr>
          <w:rFonts w:ascii="Arial" w:eastAsia="Cambria" w:hAnsi="Arial" w:cs="Arial"/>
          <w:sz w:val="18"/>
          <w:szCs w:val="18"/>
        </w:rPr>
      </w:pPr>
    </w:p>
    <w:p w14:paraId="082039DB" w14:textId="7D90C3CA" w:rsidR="00282BB3" w:rsidRDefault="00282BB3" w:rsidP="00E465C5">
      <w:pPr>
        <w:spacing w:after="0" w:line="240" w:lineRule="auto"/>
        <w:jc w:val="both"/>
        <w:rPr>
          <w:rFonts w:ascii="Arial" w:eastAsia="Cambria" w:hAnsi="Arial" w:cs="Arial"/>
          <w:sz w:val="18"/>
          <w:szCs w:val="18"/>
        </w:rPr>
      </w:pPr>
      <w:r w:rsidRPr="00282BB3">
        <w:rPr>
          <w:rFonts w:ascii="Arial" w:eastAsia="Cambria" w:hAnsi="Arial" w:cs="Arial"/>
          <w:b/>
          <w:bCs/>
          <w:sz w:val="18"/>
          <w:szCs w:val="18"/>
        </w:rPr>
        <w:t>Annual standard deviation</w:t>
      </w:r>
      <w:r w:rsidRPr="00282BB3">
        <w:rPr>
          <w:rFonts w:ascii="Arial" w:eastAsia="Cambria" w:hAnsi="Arial" w:cs="Arial"/>
          <w:sz w:val="18"/>
          <w:szCs w:val="18"/>
        </w:rPr>
        <w:t xml:space="preserve"> is the daily percentage  change  in  an  investment.  Standard deviation  shows  how  much variation from the average exists with a larger number indicating the data points are more spread out over a larger range of values.</w:t>
      </w:r>
    </w:p>
    <w:p w14:paraId="35B40702" w14:textId="176BBFBF" w:rsidR="0095563D" w:rsidRDefault="0095563D" w:rsidP="00E465C5">
      <w:pPr>
        <w:spacing w:after="0" w:line="240" w:lineRule="auto"/>
        <w:jc w:val="both"/>
        <w:rPr>
          <w:rFonts w:ascii="Arial" w:eastAsia="Cambria" w:hAnsi="Arial" w:cs="Arial"/>
          <w:sz w:val="18"/>
          <w:szCs w:val="18"/>
        </w:rPr>
      </w:pPr>
    </w:p>
    <w:p w14:paraId="1BA7D0C4" w14:textId="335DB3B8" w:rsidR="0095563D" w:rsidRDefault="0095563D" w:rsidP="00E465C5">
      <w:pPr>
        <w:spacing w:after="0" w:line="240" w:lineRule="auto"/>
        <w:jc w:val="both"/>
        <w:rPr>
          <w:rFonts w:ascii="Arial" w:hAnsi="Arial" w:cs="Arial"/>
          <w:sz w:val="18"/>
          <w:szCs w:val="18"/>
        </w:rPr>
      </w:pPr>
      <w:r w:rsidRPr="0095563D">
        <w:rPr>
          <w:rFonts w:ascii="Arial" w:hAnsi="Arial" w:cs="Arial"/>
          <w:b/>
          <w:bCs/>
          <w:sz w:val="18"/>
          <w:szCs w:val="18"/>
        </w:rPr>
        <w:t xml:space="preserve">Maximum Drawdown: </w:t>
      </w:r>
      <w:r w:rsidRPr="0095563D">
        <w:rPr>
          <w:rFonts w:ascii="Arial" w:hAnsi="Arial" w:cs="Arial"/>
          <w:sz w:val="18"/>
          <w:szCs w:val="18"/>
        </w:rPr>
        <w:t>The maximum decline a security experiences prior to reaching its previous peak.</w:t>
      </w:r>
    </w:p>
    <w:p w14:paraId="2CC464D9" w14:textId="314D4C26" w:rsidR="00D04031" w:rsidRDefault="00D04031" w:rsidP="00E465C5">
      <w:pPr>
        <w:spacing w:after="0" w:line="240" w:lineRule="auto"/>
        <w:jc w:val="both"/>
        <w:rPr>
          <w:rFonts w:ascii="Arial" w:hAnsi="Arial" w:cs="Arial"/>
          <w:sz w:val="18"/>
          <w:szCs w:val="18"/>
        </w:rPr>
      </w:pPr>
    </w:p>
    <w:p w14:paraId="4C338794" w14:textId="615EAE24" w:rsidR="00D04031" w:rsidRPr="00D04031" w:rsidRDefault="00D04031" w:rsidP="00D04031">
      <w:pPr>
        <w:spacing w:after="0" w:line="240" w:lineRule="auto"/>
        <w:jc w:val="both"/>
        <w:rPr>
          <w:rFonts w:ascii="Arial" w:hAnsi="Arial" w:cs="Arial"/>
          <w:sz w:val="18"/>
          <w:szCs w:val="18"/>
        </w:rPr>
      </w:pPr>
      <w:r>
        <w:rPr>
          <w:rFonts w:ascii="Arial" w:hAnsi="Arial" w:cs="Arial"/>
          <w:b/>
          <w:bCs/>
          <w:sz w:val="18"/>
          <w:szCs w:val="18"/>
        </w:rPr>
        <w:t>Stocks (</w:t>
      </w:r>
      <w:r w:rsidRPr="00D04031">
        <w:rPr>
          <w:rFonts w:ascii="Arial" w:hAnsi="Arial" w:cs="Arial"/>
          <w:b/>
          <w:bCs/>
          <w:sz w:val="18"/>
          <w:szCs w:val="18"/>
        </w:rPr>
        <w:t>S&amp;P 500</w:t>
      </w:r>
      <w:r>
        <w:rPr>
          <w:rFonts w:ascii="Arial" w:hAnsi="Arial" w:cs="Arial"/>
          <w:b/>
          <w:bCs/>
          <w:sz w:val="18"/>
          <w:szCs w:val="18"/>
        </w:rPr>
        <w:t>)</w:t>
      </w:r>
      <w:r w:rsidRPr="00D04031">
        <w:rPr>
          <w:rFonts w:ascii="Arial" w:hAnsi="Arial" w:cs="Arial"/>
          <w:sz w:val="18"/>
          <w:szCs w:val="18"/>
        </w:rPr>
        <w:t>: An index of 500 stocks chosen for market size, liquidity and industry grouping, among other factors. The S&amp;P 500 is designed to be a leading indicator of U.S. equities and is meant to reflect the risk/return characteristics of the large cap universe (Investopedia). Risks include the dynamic fluctuations of the market and possible loss of principal.</w:t>
      </w:r>
    </w:p>
    <w:p w14:paraId="7D6F1761" w14:textId="069E8607" w:rsidR="00D04031" w:rsidRPr="0095563D" w:rsidRDefault="00D04031" w:rsidP="00E465C5">
      <w:pPr>
        <w:spacing w:after="0" w:line="240" w:lineRule="auto"/>
        <w:jc w:val="both"/>
        <w:rPr>
          <w:rFonts w:ascii="Arial" w:hAnsi="Arial" w:cs="Arial"/>
          <w:sz w:val="18"/>
          <w:szCs w:val="18"/>
        </w:rPr>
      </w:pPr>
    </w:p>
    <w:p w14:paraId="2378C141" w14:textId="4750161D" w:rsidR="008C5612" w:rsidRDefault="00D04031" w:rsidP="00E465C5">
      <w:pPr>
        <w:spacing w:after="0" w:line="240" w:lineRule="auto"/>
        <w:jc w:val="both"/>
        <w:rPr>
          <w:rFonts w:ascii="Arial" w:hAnsi="Arial" w:cs="Arial"/>
          <w:sz w:val="18"/>
          <w:szCs w:val="18"/>
        </w:rPr>
      </w:pPr>
      <w:r>
        <w:rPr>
          <w:rFonts w:ascii="Arial" w:hAnsi="Arial" w:cs="Arial"/>
          <w:b/>
          <w:bCs/>
          <w:sz w:val="18"/>
          <w:szCs w:val="18"/>
        </w:rPr>
        <w:t>Bonds (</w:t>
      </w:r>
      <w:r w:rsidRPr="00D04031">
        <w:rPr>
          <w:rFonts w:ascii="Arial" w:hAnsi="Arial" w:cs="Arial"/>
          <w:b/>
          <w:bCs/>
          <w:sz w:val="18"/>
          <w:szCs w:val="18"/>
        </w:rPr>
        <w:t>The B</w:t>
      </w:r>
      <w:r>
        <w:rPr>
          <w:rFonts w:ascii="Arial" w:hAnsi="Arial" w:cs="Arial"/>
          <w:b/>
          <w:bCs/>
          <w:sz w:val="18"/>
          <w:szCs w:val="18"/>
        </w:rPr>
        <w:t>loomberg</w:t>
      </w:r>
      <w:r w:rsidRPr="00D04031">
        <w:rPr>
          <w:rFonts w:ascii="Arial" w:hAnsi="Arial" w:cs="Arial"/>
          <w:b/>
          <w:bCs/>
          <w:sz w:val="18"/>
          <w:szCs w:val="18"/>
        </w:rPr>
        <w:t xml:space="preserve"> U.S. Aggregate Bond Index</w:t>
      </w:r>
      <w:r>
        <w:rPr>
          <w:rFonts w:ascii="Arial" w:hAnsi="Arial" w:cs="Arial"/>
          <w:b/>
          <w:bCs/>
          <w:sz w:val="18"/>
          <w:szCs w:val="18"/>
        </w:rPr>
        <w:t>)</w:t>
      </w:r>
      <w:r w:rsidRPr="00D04031">
        <w:rPr>
          <w:rFonts w:ascii="Arial" w:hAnsi="Arial" w:cs="Arial"/>
          <w:b/>
          <w:bCs/>
          <w:sz w:val="18"/>
          <w:szCs w:val="18"/>
        </w:rPr>
        <w:t xml:space="preserve">: </w:t>
      </w:r>
      <w:r w:rsidRPr="00D04031">
        <w:rPr>
          <w:rFonts w:ascii="Arial" w:hAnsi="Arial" w:cs="Arial"/>
          <w:sz w:val="18"/>
          <w:szCs w:val="18"/>
        </w:rPr>
        <w:t>measures the performance of the U.S. investment grade bond market. The index invests in a wide spectrum of public, investment-grade, taxable, fixed income securities in the United States – including government, corporate, and international dollar-denominated bonds, as well as mortgage-backed and asset-backed securities, all with maturities of more than 1 year. Risks include rising interest rates, credit quality of the issuers and general economic conditions</w:t>
      </w:r>
      <w:r>
        <w:rPr>
          <w:rFonts w:ascii="Arial" w:hAnsi="Arial" w:cs="Arial"/>
          <w:sz w:val="18"/>
          <w:szCs w:val="18"/>
        </w:rPr>
        <w:t>.</w:t>
      </w:r>
    </w:p>
    <w:p w14:paraId="666D3445" w14:textId="549575B9" w:rsidR="00D04031" w:rsidRDefault="00D04031" w:rsidP="00E465C5">
      <w:pPr>
        <w:spacing w:after="0" w:line="240" w:lineRule="auto"/>
        <w:jc w:val="both"/>
        <w:rPr>
          <w:rFonts w:ascii="Arial" w:hAnsi="Arial" w:cs="Arial"/>
          <w:sz w:val="18"/>
          <w:szCs w:val="18"/>
        </w:rPr>
      </w:pPr>
    </w:p>
    <w:p w14:paraId="6F260F1C" w14:textId="454F46FC" w:rsidR="00D04031" w:rsidRDefault="00D04031" w:rsidP="00D04031">
      <w:pPr>
        <w:spacing w:after="0" w:line="240" w:lineRule="auto"/>
        <w:jc w:val="both"/>
        <w:rPr>
          <w:rFonts w:ascii="Arial" w:hAnsi="Arial" w:cs="Arial"/>
          <w:sz w:val="18"/>
          <w:szCs w:val="18"/>
        </w:rPr>
      </w:pPr>
      <w:r w:rsidRPr="00D04031">
        <w:rPr>
          <w:rFonts w:ascii="Arial" w:hAnsi="Arial" w:cs="Arial"/>
          <w:b/>
          <w:bCs/>
          <w:sz w:val="18"/>
          <w:szCs w:val="18"/>
        </w:rPr>
        <w:t>iPERE</w:t>
      </w:r>
      <w:r w:rsidR="00594AFF">
        <w:rPr>
          <w:rFonts w:ascii="Arial" w:hAnsi="Arial" w:cs="Arial"/>
          <w:b/>
          <w:bCs/>
          <w:sz w:val="18"/>
          <w:szCs w:val="18"/>
        </w:rPr>
        <w:t xml:space="preserve"> (</w:t>
      </w:r>
      <w:r w:rsidRPr="00D04031">
        <w:rPr>
          <w:rFonts w:ascii="Arial" w:hAnsi="Arial" w:cs="Arial"/>
          <w:b/>
          <w:bCs/>
          <w:sz w:val="18"/>
          <w:szCs w:val="18"/>
        </w:rPr>
        <w:t>NCREIF Property Index (NPI):</w:t>
      </w:r>
      <w:r w:rsidRPr="00D04031">
        <w:rPr>
          <w:rFonts w:ascii="Arial" w:hAnsi="Arial" w:cs="Arial"/>
          <w:sz w:val="18"/>
          <w:szCs w:val="18"/>
        </w:rPr>
        <w:t xml:space="preserve"> Institutional private equity real estate (iPERE) can be described as high-quality commercial properties that are usually congregated in large investment portfolios managed professionally on behalf of third-party owners or beneficiaries. The leading benchmark index for iPERE is the National Council of Real Estate Investment </w:t>
      </w:r>
      <w:r w:rsidRPr="00D04031">
        <w:rPr>
          <w:rFonts w:ascii="Arial" w:hAnsi="Arial" w:cs="Arial"/>
          <w:sz w:val="18"/>
          <w:szCs w:val="18"/>
        </w:rPr>
        <w:lastRenderedPageBreak/>
        <w:t>Fiduciaries Price Index (NPI) which represents a collection of 7,000+ institutional properties representing all major commercial property types within the U.S. The NPI is a quarterly time series composite total rate of return measure of investment performance of a very large pool of individual commercial real estate properties acquired in the private market for investment purposes only. All properties in the NPI have been acquired, at least in part, on behalf of tax-exempt institutional investors - the great majority being pension funds. As such, all properties are held in a fiduciary environment.</w:t>
      </w:r>
    </w:p>
    <w:p w14:paraId="0D6313EE" w14:textId="11020309" w:rsidR="00792FD1" w:rsidRDefault="00792FD1" w:rsidP="00D04031">
      <w:pPr>
        <w:spacing w:after="0" w:line="240" w:lineRule="auto"/>
        <w:jc w:val="both"/>
        <w:rPr>
          <w:rFonts w:ascii="Arial" w:hAnsi="Arial" w:cs="Arial"/>
          <w:sz w:val="18"/>
          <w:szCs w:val="18"/>
        </w:rPr>
      </w:pPr>
    </w:p>
    <w:p w14:paraId="153B19EF" w14:textId="521E4F73" w:rsidR="00792FD1" w:rsidRPr="00D04031" w:rsidRDefault="00792FD1" w:rsidP="00D04031">
      <w:pPr>
        <w:spacing w:after="0" w:line="240" w:lineRule="auto"/>
        <w:jc w:val="both"/>
        <w:rPr>
          <w:rFonts w:ascii="Arial" w:hAnsi="Arial" w:cs="Arial"/>
          <w:sz w:val="18"/>
          <w:szCs w:val="18"/>
        </w:rPr>
      </w:pPr>
      <w:r>
        <w:rPr>
          <w:rFonts w:ascii="Arial" w:hAnsi="Arial" w:cs="Arial"/>
          <w:sz w:val="18"/>
          <w:szCs w:val="18"/>
        </w:rPr>
        <w:t>Y</w:t>
      </w:r>
      <w:r w:rsidRPr="00792FD1">
        <w:rPr>
          <w:rFonts w:ascii="Arial" w:hAnsi="Arial" w:cs="Arial"/>
          <w:sz w:val="18"/>
          <w:szCs w:val="18"/>
        </w:rPr>
        <w:t>ou cannot invest directly in an index</w:t>
      </w:r>
      <w:r>
        <w:rPr>
          <w:rFonts w:ascii="Arial" w:hAnsi="Arial" w:cs="Arial"/>
          <w:sz w:val="18"/>
          <w:szCs w:val="18"/>
        </w:rPr>
        <w:t>.</w:t>
      </w:r>
    </w:p>
    <w:p w14:paraId="4C4094B2" w14:textId="77777777" w:rsidR="00D04031" w:rsidRDefault="00D04031" w:rsidP="00E465C5">
      <w:pPr>
        <w:spacing w:after="0" w:line="240" w:lineRule="auto"/>
        <w:jc w:val="both"/>
        <w:rPr>
          <w:rFonts w:ascii="Arial" w:hAnsi="Arial" w:cs="Arial"/>
          <w:sz w:val="18"/>
          <w:szCs w:val="18"/>
        </w:rPr>
      </w:pPr>
    </w:p>
    <w:p w14:paraId="2AF825EB" w14:textId="77777777" w:rsidR="00D04031" w:rsidRPr="00282BB3" w:rsidRDefault="00D04031" w:rsidP="00E465C5">
      <w:pPr>
        <w:spacing w:after="0" w:line="240" w:lineRule="auto"/>
        <w:jc w:val="both"/>
        <w:rPr>
          <w:rFonts w:ascii="Arial" w:hAnsi="Arial" w:cs="Arial"/>
          <w:sz w:val="18"/>
          <w:szCs w:val="18"/>
        </w:rPr>
      </w:pPr>
    </w:p>
    <w:p w14:paraId="7978309E" w14:textId="57B6B6A0" w:rsidR="00282BB3" w:rsidRPr="00A576B1" w:rsidRDefault="004D79B8" w:rsidP="00152D30">
      <w:pPr>
        <w:spacing w:after="0" w:line="240" w:lineRule="auto"/>
        <w:jc w:val="both"/>
        <w:rPr>
          <w:rFonts w:ascii="Arial" w:eastAsia="Cambria" w:hAnsi="Arial" w:cs="Arial"/>
          <w:sz w:val="18"/>
          <w:szCs w:val="18"/>
        </w:rPr>
      </w:pPr>
      <w:r w:rsidRPr="00A576B1">
        <w:rPr>
          <w:rFonts w:ascii="Arial" w:eastAsia="Cambria" w:hAnsi="Arial" w:cs="Arial"/>
          <w:sz w:val="18"/>
          <w:szCs w:val="18"/>
        </w:rPr>
        <w:t>BLU000</w:t>
      </w:r>
      <w:r w:rsidR="00A576B1" w:rsidRPr="00A576B1">
        <w:rPr>
          <w:rFonts w:ascii="Arial" w:eastAsia="Cambria" w:hAnsi="Arial" w:cs="Arial"/>
          <w:sz w:val="18"/>
          <w:szCs w:val="18"/>
        </w:rPr>
        <w:t>858</w:t>
      </w:r>
    </w:p>
    <w:p w14:paraId="5887207C" w14:textId="3A20CB26" w:rsidR="00AB7CEA" w:rsidRDefault="00775CE7" w:rsidP="00152D30">
      <w:pPr>
        <w:spacing w:after="0" w:line="240" w:lineRule="auto"/>
        <w:jc w:val="both"/>
        <w:rPr>
          <w:rFonts w:ascii="Arial" w:eastAsia="Cambria" w:hAnsi="Arial" w:cs="Arial"/>
          <w:sz w:val="18"/>
          <w:szCs w:val="18"/>
        </w:rPr>
      </w:pPr>
      <w:r w:rsidRPr="00775CE7">
        <w:rPr>
          <w:rFonts w:ascii="Arial" w:eastAsia="Cambria" w:hAnsi="Arial" w:cs="Arial"/>
          <w:sz w:val="18"/>
          <w:szCs w:val="18"/>
        </w:rPr>
        <w:t>V-22-20</w:t>
      </w:r>
    </w:p>
    <w:p w14:paraId="171E40AE" w14:textId="77777777" w:rsidR="00775CE7" w:rsidRPr="00282BB3" w:rsidRDefault="00775CE7" w:rsidP="00152D30">
      <w:pPr>
        <w:spacing w:after="0" w:line="240" w:lineRule="auto"/>
        <w:jc w:val="both"/>
        <w:rPr>
          <w:rFonts w:ascii="Arial" w:hAnsi="Arial" w:cs="Arial"/>
          <w:sz w:val="18"/>
          <w:szCs w:val="18"/>
        </w:rPr>
      </w:pPr>
    </w:p>
    <w:p w14:paraId="58D6FD94" w14:textId="77777777" w:rsidR="008C5612" w:rsidRPr="00282BB3" w:rsidRDefault="008C5612" w:rsidP="00152D30">
      <w:pPr>
        <w:spacing w:after="0" w:line="240" w:lineRule="auto"/>
        <w:jc w:val="both"/>
        <w:rPr>
          <w:rFonts w:ascii="Arial" w:hAnsi="Arial" w:cs="Arial"/>
          <w:sz w:val="18"/>
          <w:szCs w:val="18"/>
        </w:rPr>
      </w:pPr>
      <w:r w:rsidRPr="00282BB3">
        <w:rPr>
          <w:rFonts w:ascii="Arial" w:hAnsi="Arial" w:cs="Arial"/>
          <w:noProof/>
          <w:sz w:val="18"/>
          <w:szCs w:val="18"/>
        </w:rPr>
        <w:drawing>
          <wp:inline distT="0" distB="0" distL="0" distR="0" wp14:anchorId="5324D65A" wp14:editId="47402312">
            <wp:extent cx="1435608" cy="237744"/>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5608" cy="237744"/>
                    </a:xfrm>
                    <a:prstGeom prst="rect">
                      <a:avLst/>
                    </a:prstGeom>
                  </pic:spPr>
                </pic:pic>
              </a:graphicData>
            </a:graphic>
          </wp:inline>
        </w:drawing>
      </w:r>
    </w:p>
    <w:p w14:paraId="4ACB0CDA" w14:textId="77777777" w:rsidR="008C5612" w:rsidRPr="00282BB3" w:rsidRDefault="008C5612" w:rsidP="00152D30">
      <w:pPr>
        <w:spacing w:after="0" w:line="240" w:lineRule="auto"/>
        <w:jc w:val="both"/>
        <w:rPr>
          <w:rFonts w:ascii="Arial" w:hAnsi="Arial" w:cs="Arial"/>
          <w:sz w:val="18"/>
          <w:szCs w:val="18"/>
        </w:rPr>
      </w:pPr>
    </w:p>
    <w:p w14:paraId="6AB8EB39" w14:textId="77777777" w:rsidR="008C5612" w:rsidRPr="00282BB3" w:rsidRDefault="008C5612" w:rsidP="00152D30">
      <w:pPr>
        <w:spacing w:after="0" w:line="240" w:lineRule="auto"/>
        <w:jc w:val="both"/>
        <w:rPr>
          <w:rFonts w:ascii="Arial" w:hAnsi="Arial" w:cs="Arial"/>
          <w:i/>
          <w:sz w:val="18"/>
          <w:szCs w:val="18"/>
        </w:rPr>
      </w:pPr>
      <w:r w:rsidRPr="00282BB3">
        <w:rPr>
          <w:rFonts w:ascii="Arial" w:hAnsi="Arial" w:cs="Arial"/>
          <w:i/>
          <w:sz w:val="18"/>
          <w:szCs w:val="18"/>
        </w:rPr>
        <w:t>Smart Investment Solutions™</w:t>
      </w:r>
    </w:p>
    <w:p w14:paraId="76FC9409" w14:textId="7CB51139" w:rsidR="00DA563E" w:rsidRPr="00282BB3" w:rsidRDefault="00DA563E" w:rsidP="00152D30">
      <w:pPr>
        <w:spacing w:after="0" w:line="240" w:lineRule="auto"/>
        <w:rPr>
          <w:rFonts w:ascii="Arial" w:hAnsi="Arial" w:cs="Arial"/>
          <w:sz w:val="18"/>
          <w:szCs w:val="18"/>
        </w:rPr>
      </w:pPr>
    </w:p>
    <w:sectPr w:rsidR="00DA563E" w:rsidRPr="00282BB3" w:rsidSect="00834F47">
      <w:headerReference w:type="first" r:id="rId10"/>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61A4" w14:textId="77777777" w:rsidR="00543B6D" w:rsidRDefault="00543B6D" w:rsidP="00DA563E">
      <w:r>
        <w:separator/>
      </w:r>
    </w:p>
  </w:endnote>
  <w:endnote w:type="continuationSeparator" w:id="0">
    <w:p w14:paraId="4529F382" w14:textId="77777777" w:rsidR="00543B6D" w:rsidRDefault="00543B6D" w:rsidP="00DA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ITC Franklin Gothic Std Bk C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114E" w14:textId="77777777" w:rsidR="00543B6D" w:rsidRDefault="00543B6D" w:rsidP="00DA563E">
      <w:r>
        <w:separator/>
      </w:r>
    </w:p>
  </w:footnote>
  <w:footnote w:type="continuationSeparator" w:id="0">
    <w:p w14:paraId="76242C11" w14:textId="77777777" w:rsidR="00543B6D" w:rsidRDefault="00543B6D" w:rsidP="00DA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0224" w14:textId="2746AB54" w:rsidR="00905576" w:rsidRDefault="003A53DB" w:rsidP="00905576">
    <w:pPr>
      <w:pStyle w:val="Header"/>
    </w:pPr>
    <w:r w:rsidRPr="003A53DB">
      <w:rPr>
        <w:rFonts w:ascii="Tahoma" w:eastAsia="Tahoma" w:hAnsi="Tahoma" w:cs="Tahoma"/>
        <w:noProof/>
        <w:sz w:val="22"/>
        <w:szCs w:val="22"/>
        <w:lang w:bidi="en-US"/>
      </w:rPr>
      <w:drawing>
        <wp:inline distT="0" distB="0" distL="0" distR="0" wp14:anchorId="44F41E9A" wp14:editId="6446C3E6">
          <wp:extent cx="1982342" cy="414908"/>
          <wp:effectExtent l="0" t="0" r="0" b="0"/>
          <wp:docPr id="2"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 company name&#10;&#10;Description automatically generated"/>
                  <pic:cNvPicPr/>
                </pic:nvPicPr>
                <pic:blipFill>
                  <a:blip r:embed="rId1" cstate="print"/>
                  <a:stretch>
                    <a:fillRect/>
                  </a:stretch>
                </pic:blipFill>
                <pic:spPr>
                  <a:xfrm>
                    <a:off x="0" y="0"/>
                    <a:ext cx="1982342" cy="414908"/>
                  </a:xfrm>
                  <a:prstGeom prst="rect">
                    <a:avLst/>
                  </a:prstGeom>
                </pic:spPr>
              </pic:pic>
            </a:graphicData>
          </a:graphic>
        </wp:inline>
      </w:drawing>
    </w:r>
  </w:p>
  <w:p w14:paraId="553AFA0A" w14:textId="77777777" w:rsidR="00905576" w:rsidRDefault="00905576" w:rsidP="00905576">
    <w:pPr>
      <w:pStyle w:val="Header"/>
    </w:pPr>
  </w:p>
  <w:p w14:paraId="6B40D237" w14:textId="77777777" w:rsidR="00905576" w:rsidRDefault="009055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3E"/>
    <w:rsid w:val="00043100"/>
    <w:rsid w:val="0006470B"/>
    <w:rsid w:val="000735A6"/>
    <w:rsid w:val="000812AB"/>
    <w:rsid w:val="000B7FB4"/>
    <w:rsid w:val="000F4E03"/>
    <w:rsid w:val="000F648B"/>
    <w:rsid w:val="0010725E"/>
    <w:rsid w:val="00107CB6"/>
    <w:rsid w:val="001232A7"/>
    <w:rsid w:val="001407F5"/>
    <w:rsid w:val="001458C3"/>
    <w:rsid w:val="00152D30"/>
    <w:rsid w:val="00167CAA"/>
    <w:rsid w:val="00185301"/>
    <w:rsid w:val="001A1F09"/>
    <w:rsid w:val="001C26B7"/>
    <w:rsid w:val="001D2BB8"/>
    <w:rsid w:val="001F1DA2"/>
    <w:rsid w:val="001F4E6F"/>
    <w:rsid w:val="00201BC2"/>
    <w:rsid w:val="002157D5"/>
    <w:rsid w:val="002237B0"/>
    <w:rsid w:val="00252144"/>
    <w:rsid w:val="002537AF"/>
    <w:rsid w:val="00282BB3"/>
    <w:rsid w:val="002B507E"/>
    <w:rsid w:val="002C456C"/>
    <w:rsid w:val="002C59D7"/>
    <w:rsid w:val="00316EE2"/>
    <w:rsid w:val="00331A24"/>
    <w:rsid w:val="00351742"/>
    <w:rsid w:val="00396B27"/>
    <w:rsid w:val="003A53DB"/>
    <w:rsid w:val="003C7A1B"/>
    <w:rsid w:val="003F69C1"/>
    <w:rsid w:val="004074D2"/>
    <w:rsid w:val="00431144"/>
    <w:rsid w:val="004469BC"/>
    <w:rsid w:val="00466CE6"/>
    <w:rsid w:val="004719AB"/>
    <w:rsid w:val="0047217F"/>
    <w:rsid w:val="00482AE5"/>
    <w:rsid w:val="004A4C9E"/>
    <w:rsid w:val="004A6BA1"/>
    <w:rsid w:val="004C3E2D"/>
    <w:rsid w:val="004D79B8"/>
    <w:rsid w:val="004F0CB3"/>
    <w:rsid w:val="004F130E"/>
    <w:rsid w:val="00510156"/>
    <w:rsid w:val="00513165"/>
    <w:rsid w:val="00513232"/>
    <w:rsid w:val="00513CF4"/>
    <w:rsid w:val="00541843"/>
    <w:rsid w:val="00543B6D"/>
    <w:rsid w:val="00575361"/>
    <w:rsid w:val="005818E3"/>
    <w:rsid w:val="005870A6"/>
    <w:rsid w:val="00594AFF"/>
    <w:rsid w:val="005A42B9"/>
    <w:rsid w:val="005A4F81"/>
    <w:rsid w:val="005F7808"/>
    <w:rsid w:val="00616451"/>
    <w:rsid w:val="00670826"/>
    <w:rsid w:val="00677C31"/>
    <w:rsid w:val="006E4405"/>
    <w:rsid w:val="006E4ED1"/>
    <w:rsid w:val="00727428"/>
    <w:rsid w:val="00734AAB"/>
    <w:rsid w:val="00775CE7"/>
    <w:rsid w:val="007859E1"/>
    <w:rsid w:val="00785AAA"/>
    <w:rsid w:val="00792FD1"/>
    <w:rsid w:val="007B037B"/>
    <w:rsid w:val="007C4A1B"/>
    <w:rsid w:val="007C7337"/>
    <w:rsid w:val="007F3399"/>
    <w:rsid w:val="00812706"/>
    <w:rsid w:val="00814CBA"/>
    <w:rsid w:val="0082268A"/>
    <w:rsid w:val="008264FE"/>
    <w:rsid w:val="00834F47"/>
    <w:rsid w:val="00842D2F"/>
    <w:rsid w:val="00897A2C"/>
    <w:rsid w:val="008B4A36"/>
    <w:rsid w:val="008B7B93"/>
    <w:rsid w:val="008C1632"/>
    <w:rsid w:val="008C5612"/>
    <w:rsid w:val="008C563C"/>
    <w:rsid w:val="008E2D86"/>
    <w:rsid w:val="008E60F4"/>
    <w:rsid w:val="009014EB"/>
    <w:rsid w:val="0090435D"/>
    <w:rsid w:val="00905576"/>
    <w:rsid w:val="009072B8"/>
    <w:rsid w:val="00911053"/>
    <w:rsid w:val="0092347A"/>
    <w:rsid w:val="00930E49"/>
    <w:rsid w:val="00936578"/>
    <w:rsid w:val="00941E61"/>
    <w:rsid w:val="009443A0"/>
    <w:rsid w:val="009521B8"/>
    <w:rsid w:val="00954E4C"/>
    <w:rsid w:val="0095563D"/>
    <w:rsid w:val="0095671B"/>
    <w:rsid w:val="00957CD1"/>
    <w:rsid w:val="0097542B"/>
    <w:rsid w:val="00976887"/>
    <w:rsid w:val="009A2EE0"/>
    <w:rsid w:val="009B2E50"/>
    <w:rsid w:val="009B7EA7"/>
    <w:rsid w:val="009F48C0"/>
    <w:rsid w:val="009F58D8"/>
    <w:rsid w:val="00A04325"/>
    <w:rsid w:val="00A30095"/>
    <w:rsid w:val="00A576B1"/>
    <w:rsid w:val="00A60577"/>
    <w:rsid w:val="00A82162"/>
    <w:rsid w:val="00AB7CEA"/>
    <w:rsid w:val="00AC61A8"/>
    <w:rsid w:val="00AD6F33"/>
    <w:rsid w:val="00AF3E07"/>
    <w:rsid w:val="00B034F9"/>
    <w:rsid w:val="00B10994"/>
    <w:rsid w:val="00B20F2E"/>
    <w:rsid w:val="00B31C3E"/>
    <w:rsid w:val="00B42DE7"/>
    <w:rsid w:val="00B5470C"/>
    <w:rsid w:val="00B826CE"/>
    <w:rsid w:val="00B8696B"/>
    <w:rsid w:val="00BB46B2"/>
    <w:rsid w:val="00BD1E28"/>
    <w:rsid w:val="00BD555A"/>
    <w:rsid w:val="00C05C34"/>
    <w:rsid w:val="00C1646A"/>
    <w:rsid w:val="00C23CC3"/>
    <w:rsid w:val="00C473D7"/>
    <w:rsid w:val="00C80CEB"/>
    <w:rsid w:val="00C9080C"/>
    <w:rsid w:val="00CA701C"/>
    <w:rsid w:val="00CE5A33"/>
    <w:rsid w:val="00CF340B"/>
    <w:rsid w:val="00D0161D"/>
    <w:rsid w:val="00D04031"/>
    <w:rsid w:val="00D0617A"/>
    <w:rsid w:val="00D36A7A"/>
    <w:rsid w:val="00D85A5A"/>
    <w:rsid w:val="00DA563E"/>
    <w:rsid w:val="00DD0364"/>
    <w:rsid w:val="00DE2288"/>
    <w:rsid w:val="00E06C4B"/>
    <w:rsid w:val="00E20D4A"/>
    <w:rsid w:val="00E30C31"/>
    <w:rsid w:val="00E465C5"/>
    <w:rsid w:val="00E4704B"/>
    <w:rsid w:val="00E530B3"/>
    <w:rsid w:val="00E64700"/>
    <w:rsid w:val="00E8481A"/>
    <w:rsid w:val="00E94EEA"/>
    <w:rsid w:val="00EA2FAD"/>
    <w:rsid w:val="00EB3A49"/>
    <w:rsid w:val="00EE341F"/>
    <w:rsid w:val="00F0260B"/>
    <w:rsid w:val="00F06F9C"/>
    <w:rsid w:val="00F2047A"/>
    <w:rsid w:val="00F27A6C"/>
    <w:rsid w:val="00F3311B"/>
    <w:rsid w:val="00F3738C"/>
    <w:rsid w:val="00F53357"/>
    <w:rsid w:val="00F61045"/>
    <w:rsid w:val="00F62049"/>
    <w:rsid w:val="00F62E7B"/>
    <w:rsid w:val="00F9181F"/>
    <w:rsid w:val="00FD395D"/>
    <w:rsid w:val="00FE47F2"/>
    <w:rsid w:val="00FF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63985"/>
  <w15:chartTrackingRefBased/>
  <w15:docId w15:val="{55CCFDCD-4EA2-D745-A891-30317891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6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63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A563E"/>
  </w:style>
  <w:style w:type="paragraph" w:styleId="Footer">
    <w:name w:val="footer"/>
    <w:basedOn w:val="Normal"/>
    <w:link w:val="FooterChar"/>
    <w:uiPriority w:val="99"/>
    <w:unhideWhenUsed/>
    <w:rsid w:val="00DA563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A563E"/>
  </w:style>
  <w:style w:type="paragraph" w:styleId="NormalWeb">
    <w:name w:val="Normal (Web)"/>
    <w:basedOn w:val="Normal"/>
    <w:uiPriority w:val="99"/>
    <w:semiHidden/>
    <w:unhideWhenUsed/>
    <w:rsid w:val="00DA563E"/>
    <w:pPr>
      <w:spacing w:before="100" w:beforeAutospacing="1" w:after="100" w:afterAutospacing="1"/>
    </w:pPr>
    <w:rPr>
      <w:rFonts w:ascii="Times New Roman" w:eastAsia="Times New Roman" w:hAnsi="Times New Roman" w:cs="Times New Roman"/>
    </w:rPr>
  </w:style>
  <w:style w:type="paragraph" w:customStyle="1" w:styleId="Default">
    <w:name w:val="Default"/>
    <w:rsid w:val="008C5612"/>
    <w:pPr>
      <w:widowControl w:val="0"/>
      <w:autoSpaceDE w:val="0"/>
      <w:autoSpaceDN w:val="0"/>
      <w:adjustRightInd w:val="0"/>
    </w:pPr>
    <w:rPr>
      <w:rFonts w:ascii="Franklin Gothic Book" w:eastAsiaTheme="minorEastAsia" w:hAnsi="Franklin Gothic Book" w:cs="Franklin Gothic Book"/>
      <w:color w:val="000000"/>
    </w:rPr>
  </w:style>
  <w:style w:type="character" w:styleId="Hyperlink">
    <w:name w:val="Hyperlink"/>
    <w:basedOn w:val="DefaultParagraphFont"/>
    <w:uiPriority w:val="99"/>
    <w:unhideWhenUsed/>
    <w:rsid w:val="008C5612"/>
    <w:rPr>
      <w:color w:val="0563C1" w:themeColor="hyperlink"/>
      <w:u w:val="single"/>
    </w:rPr>
  </w:style>
  <w:style w:type="paragraph" w:styleId="Revision">
    <w:name w:val="Revision"/>
    <w:hidden/>
    <w:uiPriority w:val="99"/>
    <w:semiHidden/>
    <w:rsid w:val="002C59D7"/>
    <w:rPr>
      <w:sz w:val="22"/>
      <w:szCs w:val="22"/>
    </w:rPr>
  </w:style>
  <w:style w:type="character" w:styleId="CommentReference">
    <w:name w:val="annotation reference"/>
    <w:basedOn w:val="DefaultParagraphFont"/>
    <w:uiPriority w:val="99"/>
    <w:semiHidden/>
    <w:unhideWhenUsed/>
    <w:rsid w:val="00F3738C"/>
    <w:rPr>
      <w:sz w:val="16"/>
      <w:szCs w:val="16"/>
    </w:rPr>
  </w:style>
  <w:style w:type="paragraph" w:styleId="CommentText">
    <w:name w:val="annotation text"/>
    <w:basedOn w:val="Normal"/>
    <w:link w:val="CommentTextChar"/>
    <w:uiPriority w:val="99"/>
    <w:semiHidden/>
    <w:unhideWhenUsed/>
    <w:rsid w:val="00F3738C"/>
    <w:pPr>
      <w:spacing w:line="240" w:lineRule="auto"/>
    </w:pPr>
    <w:rPr>
      <w:sz w:val="20"/>
      <w:szCs w:val="20"/>
    </w:rPr>
  </w:style>
  <w:style w:type="character" w:customStyle="1" w:styleId="CommentTextChar">
    <w:name w:val="Comment Text Char"/>
    <w:basedOn w:val="DefaultParagraphFont"/>
    <w:link w:val="CommentText"/>
    <w:uiPriority w:val="99"/>
    <w:semiHidden/>
    <w:rsid w:val="00F3738C"/>
    <w:rPr>
      <w:sz w:val="20"/>
      <w:szCs w:val="20"/>
    </w:rPr>
  </w:style>
  <w:style w:type="paragraph" w:styleId="CommentSubject">
    <w:name w:val="annotation subject"/>
    <w:basedOn w:val="CommentText"/>
    <w:next w:val="CommentText"/>
    <w:link w:val="CommentSubjectChar"/>
    <w:uiPriority w:val="99"/>
    <w:semiHidden/>
    <w:unhideWhenUsed/>
    <w:rsid w:val="00F3738C"/>
    <w:rPr>
      <w:b/>
      <w:bCs/>
    </w:rPr>
  </w:style>
  <w:style w:type="character" w:customStyle="1" w:styleId="CommentSubjectChar">
    <w:name w:val="Comment Subject Char"/>
    <w:basedOn w:val="CommentTextChar"/>
    <w:link w:val="CommentSubject"/>
    <w:uiPriority w:val="99"/>
    <w:semiHidden/>
    <w:rsid w:val="00F3738C"/>
    <w:rPr>
      <w:b/>
      <w:bCs/>
      <w:sz w:val="20"/>
      <w:szCs w:val="20"/>
    </w:rPr>
  </w:style>
  <w:style w:type="paragraph" w:customStyle="1" w:styleId="Pa2">
    <w:name w:val="Pa2"/>
    <w:basedOn w:val="Default"/>
    <w:next w:val="Default"/>
    <w:uiPriority w:val="99"/>
    <w:rsid w:val="00F62049"/>
    <w:pPr>
      <w:widowControl/>
      <w:spacing w:line="241" w:lineRule="atLeast"/>
    </w:pPr>
    <w:rPr>
      <w:rFonts w:ascii="ITC Franklin Gothic Std Bk Cd" w:eastAsiaTheme="minorHAnsi" w:hAnsi="ITC Franklin Gothic Std Bk Cd" w:cstheme="minorBidi"/>
      <w:color w:val="auto"/>
    </w:rPr>
  </w:style>
  <w:style w:type="character" w:customStyle="1" w:styleId="A1">
    <w:name w:val="A1"/>
    <w:uiPriority w:val="99"/>
    <w:rsid w:val="00F62049"/>
    <w:rPr>
      <w:rFonts w:cs="ITC Franklin Gothic Std Bk Cd"/>
      <w:b/>
      <w:bCs/>
      <w:color w:val="62656A"/>
      <w:sz w:val="18"/>
      <w:szCs w:val="18"/>
    </w:rPr>
  </w:style>
  <w:style w:type="character" w:customStyle="1" w:styleId="A2">
    <w:name w:val="A2"/>
    <w:uiPriority w:val="99"/>
    <w:rsid w:val="00F62049"/>
    <w:rPr>
      <w:rFonts w:cs="ITC Franklin Gothic Std Bk Cd"/>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10418">
      <w:bodyDiv w:val="1"/>
      <w:marLeft w:val="0"/>
      <w:marRight w:val="0"/>
      <w:marTop w:val="0"/>
      <w:marBottom w:val="0"/>
      <w:divBdr>
        <w:top w:val="none" w:sz="0" w:space="0" w:color="auto"/>
        <w:left w:val="none" w:sz="0" w:space="0" w:color="auto"/>
        <w:bottom w:val="none" w:sz="0" w:space="0" w:color="auto"/>
        <w:right w:val="none" w:sz="0" w:space="0" w:color="auto"/>
      </w:divBdr>
    </w:div>
    <w:div w:id="1885555677">
      <w:bodyDiv w:val="1"/>
      <w:marLeft w:val="0"/>
      <w:marRight w:val="0"/>
      <w:marTop w:val="0"/>
      <w:marBottom w:val="0"/>
      <w:divBdr>
        <w:top w:val="none" w:sz="0" w:space="0" w:color="auto"/>
        <w:left w:val="none" w:sz="0" w:space="0" w:color="auto"/>
        <w:bottom w:val="none" w:sz="0" w:space="0" w:color="auto"/>
        <w:right w:val="none" w:sz="0" w:space="0" w:color="auto"/>
      </w:divBdr>
    </w:div>
    <w:div w:id="18901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rockfunds.com" TargetMode="External"/><Relationship Id="rId3" Type="http://schemas.openxmlformats.org/officeDocument/2006/relationships/settings" Target="settings.xml"/><Relationship Id="rId7" Type="http://schemas.openxmlformats.org/officeDocument/2006/relationships/hyperlink" Target="http://www.se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4CF71-7ED1-446A-9283-300F8DDB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Park</dc:creator>
  <cp:keywords/>
  <dc:description/>
  <cp:lastModifiedBy>Josh Hoffman</cp:lastModifiedBy>
  <cp:revision>2</cp:revision>
  <dcterms:created xsi:type="dcterms:W3CDTF">2022-02-18T17:21:00Z</dcterms:created>
  <dcterms:modified xsi:type="dcterms:W3CDTF">2022-02-18T17:21:00Z</dcterms:modified>
</cp:coreProperties>
</file>